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s="宋体"/>
          <w:kern w:val="0"/>
        </w:rPr>
      </w:pPr>
      <w:r>
        <w:rPr>
          <w:rFonts w:hint="eastAsia" w:ascii="黑体" w:hAnsi="黑体" w:eastAsia="黑体" w:cs="宋体"/>
          <w:kern w:val="0"/>
        </w:rPr>
        <w:t>附件1</w:t>
      </w:r>
    </w:p>
    <w:p>
      <w:pPr>
        <w:spacing w:line="100" w:lineRule="exact"/>
        <w:rPr>
          <w:rFonts w:ascii="Times New Roman" w:hAnsi="Times New Roman" w:cs="Times New Roman"/>
          <w:sz w:val="21"/>
          <w:szCs w:val="21"/>
        </w:rPr>
      </w:pPr>
      <w:r>
        <w:t xml:space="preserve"> </w:t>
      </w:r>
    </w:p>
    <w:p>
      <w:pPr>
        <w:widowControl/>
        <w:spacing w:line="600" w:lineRule="exact"/>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行政执法案卷情况统计表</w:t>
      </w:r>
    </w:p>
    <w:p>
      <w:pPr>
        <w:widowControl/>
        <w:spacing w:line="600" w:lineRule="exact"/>
        <w:jc w:val="center"/>
        <w:rPr>
          <w:rFonts w:ascii="方正小标宋简体" w:eastAsia="方正小标宋简体" w:cs="宋体"/>
          <w:kern w:val="0"/>
        </w:rPr>
      </w:pPr>
      <w:r>
        <w:rPr>
          <w:rFonts w:hint="eastAsia" w:ascii="方正小标宋简体" w:eastAsia="方正小标宋简体" w:cs="宋体"/>
          <w:kern w:val="0"/>
        </w:rPr>
        <w:t>（2022年8月1日—2023年6月30日）</w:t>
      </w:r>
    </w:p>
    <w:p>
      <w:pPr>
        <w:spacing w:line="100" w:lineRule="exact"/>
        <w:rPr>
          <w:rFonts w:ascii="Times New Roman" w:cs="Times New Roman"/>
          <w:sz w:val="21"/>
          <w:szCs w:val="21"/>
        </w:rPr>
      </w:pPr>
      <w:r>
        <w:t xml:space="preserve"> </w:t>
      </w:r>
    </w:p>
    <w:p>
      <w:pPr>
        <w:widowControl/>
        <w:spacing w:line="560" w:lineRule="exact"/>
        <w:jc w:val="left"/>
        <w:rPr>
          <w:rFonts w:ascii="仿宋" w:hAnsi="仿宋" w:eastAsia="仿宋" w:cs="宋体"/>
          <w:kern w:val="0"/>
          <w:sz w:val="24"/>
          <w:szCs w:val="24"/>
        </w:rPr>
      </w:pPr>
      <w:r>
        <w:rPr>
          <w:rFonts w:hint="eastAsia" w:ascii="仿宋" w:hAnsi="仿宋" w:eastAsia="仿宋" w:cs="宋体"/>
          <w:kern w:val="0"/>
          <w:sz w:val="24"/>
          <w:szCs w:val="24"/>
        </w:rPr>
        <w:t>报送单位（印章）：</w:t>
      </w:r>
    </w:p>
    <w:tbl>
      <w:tblPr>
        <w:tblStyle w:val="3"/>
        <w:tblW w:w="9033" w:type="dxa"/>
        <w:jc w:val="center"/>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Layout w:type="fixed"/>
        <w:tblCellMar>
          <w:top w:w="0" w:type="dxa"/>
          <w:left w:w="108" w:type="dxa"/>
          <w:bottom w:w="0" w:type="dxa"/>
          <w:right w:w="108" w:type="dxa"/>
        </w:tblCellMar>
      </w:tblPr>
      <w:tblGrid>
        <w:gridCol w:w="1563"/>
        <w:gridCol w:w="2165"/>
        <w:gridCol w:w="3877"/>
        <w:gridCol w:w="1428"/>
      </w:tblGrid>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517" w:hRule="atLeast"/>
          <w:jc w:val="center"/>
        </w:trPr>
        <w:tc>
          <w:tcPr>
            <w:tcW w:w="156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宋体"/>
                <w:kern w:val="0"/>
                <w:sz w:val="24"/>
                <w:szCs w:val="24"/>
              </w:rPr>
            </w:pPr>
            <w:r>
              <w:rPr>
                <w:rFonts w:hint="eastAsia" w:ascii="黑体" w:hAnsi="黑体" w:eastAsia="黑体" w:cs="宋体"/>
                <w:kern w:val="0"/>
                <w:sz w:val="24"/>
                <w:szCs w:val="24"/>
              </w:rPr>
              <w:t>案卷类别</w:t>
            </w:r>
          </w:p>
        </w:tc>
        <w:tc>
          <w:tcPr>
            <w:tcW w:w="21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黑体" w:hAnsi="黑体" w:eastAsia="黑体" w:cs="宋体"/>
                <w:kern w:val="0"/>
                <w:sz w:val="24"/>
                <w:szCs w:val="24"/>
              </w:rPr>
            </w:pPr>
            <w:r>
              <w:rPr>
                <w:rFonts w:hint="eastAsia" w:ascii="黑体" w:hAnsi="黑体" w:eastAsia="黑体" w:cs="宋体"/>
                <w:kern w:val="0"/>
                <w:sz w:val="24"/>
                <w:szCs w:val="24"/>
              </w:rPr>
              <w:t>序  号</w:t>
            </w:r>
          </w:p>
        </w:tc>
        <w:tc>
          <w:tcPr>
            <w:tcW w:w="3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黑体" w:hAnsi="黑体" w:eastAsia="黑体" w:cs="宋体"/>
                <w:kern w:val="0"/>
                <w:sz w:val="24"/>
                <w:szCs w:val="24"/>
              </w:rPr>
            </w:pPr>
            <w:r>
              <w:rPr>
                <w:rFonts w:hint="eastAsia" w:ascii="黑体" w:hAnsi="黑体" w:eastAsia="黑体" w:cs="宋体"/>
                <w:kern w:val="0"/>
                <w:sz w:val="24"/>
                <w:szCs w:val="24"/>
              </w:rPr>
              <w:t>名    称</w:t>
            </w:r>
          </w:p>
        </w:tc>
        <w:tc>
          <w:tcPr>
            <w:tcW w:w="14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黑体" w:hAnsi="黑体" w:eastAsia="黑体" w:cs="宋体"/>
                <w:kern w:val="0"/>
                <w:sz w:val="24"/>
                <w:szCs w:val="24"/>
              </w:rPr>
            </w:pPr>
            <w:r>
              <w:rPr>
                <w:rFonts w:hint="eastAsia" w:ascii="黑体" w:hAnsi="黑体" w:eastAsia="黑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518" w:hRule="atLeast"/>
          <w:jc w:val="center"/>
        </w:trPr>
        <w:tc>
          <w:tcPr>
            <w:tcW w:w="15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宋体"/>
                <w:kern w:val="0"/>
                <w:sz w:val="24"/>
                <w:szCs w:val="24"/>
              </w:rPr>
            </w:pPr>
            <w:r>
              <w:rPr>
                <w:rFonts w:hint="eastAsia" w:ascii="黑体" w:hAnsi="黑体" w:eastAsia="黑体" w:cs="宋体"/>
                <w:kern w:val="0"/>
                <w:sz w:val="24"/>
                <w:szCs w:val="24"/>
              </w:rPr>
              <w:t>行政许可案卷</w:t>
            </w:r>
          </w:p>
        </w:tc>
        <w:tc>
          <w:tcPr>
            <w:tcW w:w="21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3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14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518" w:hRule="atLeast"/>
          <w:jc w:val="center"/>
        </w:trPr>
        <w:tc>
          <w:tcPr>
            <w:tcW w:w="15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kern w:val="0"/>
                <w:sz w:val="24"/>
                <w:szCs w:val="24"/>
              </w:rPr>
            </w:pPr>
          </w:p>
        </w:tc>
        <w:tc>
          <w:tcPr>
            <w:tcW w:w="21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3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14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518" w:hRule="atLeast"/>
          <w:jc w:val="center"/>
        </w:trPr>
        <w:tc>
          <w:tcPr>
            <w:tcW w:w="15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kern w:val="0"/>
                <w:sz w:val="24"/>
                <w:szCs w:val="24"/>
              </w:rPr>
            </w:pPr>
          </w:p>
        </w:tc>
        <w:tc>
          <w:tcPr>
            <w:tcW w:w="21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3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14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517" w:hRule="atLeast"/>
          <w:jc w:val="center"/>
        </w:trPr>
        <w:tc>
          <w:tcPr>
            <w:tcW w:w="15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kern w:val="0"/>
                <w:sz w:val="24"/>
                <w:szCs w:val="24"/>
              </w:rPr>
            </w:pPr>
          </w:p>
        </w:tc>
        <w:tc>
          <w:tcPr>
            <w:tcW w:w="21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3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14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518" w:hRule="atLeast"/>
          <w:jc w:val="center"/>
        </w:trPr>
        <w:tc>
          <w:tcPr>
            <w:tcW w:w="15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kern w:val="0"/>
                <w:sz w:val="24"/>
                <w:szCs w:val="24"/>
              </w:rPr>
            </w:pPr>
          </w:p>
        </w:tc>
        <w:tc>
          <w:tcPr>
            <w:tcW w:w="21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3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14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518" w:hRule="atLeast"/>
          <w:jc w:val="center"/>
        </w:trPr>
        <w:tc>
          <w:tcPr>
            <w:tcW w:w="15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kern w:val="0"/>
                <w:sz w:val="24"/>
                <w:szCs w:val="24"/>
              </w:rPr>
            </w:pPr>
          </w:p>
        </w:tc>
        <w:tc>
          <w:tcPr>
            <w:tcW w:w="21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3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14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518" w:hRule="atLeast"/>
          <w:jc w:val="center"/>
        </w:trPr>
        <w:tc>
          <w:tcPr>
            <w:tcW w:w="15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kern w:val="0"/>
                <w:sz w:val="24"/>
                <w:szCs w:val="24"/>
              </w:rPr>
            </w:pPr>
          </w:p>
        </w:tc>
        <w:tc>
          <w:tcPr>
            <w:tcW w:w="21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3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14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517" w:hRule="atLeast"/>
          <w:jc w:val="center"/>
        </w:trPr>
        <w:tc>
          <w:tcPr>
            <w:tcW w:w="15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kern w:val="0"/>
                <w:sz w:val="24"/>
                <w:szCs w:val="24"/>
              </w:rPr>
            </w:pPr>
          </w:p>
        </w:tc>
        <w:tc>
          <w:tcPr>
            <w:tcW w:w="21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3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14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518" w:hRule="atLeast"/>
          <w:jc w:val="center"/>
        </w:trPr>
        <w:tc>
          <w:tcPr>
            <w:tcW w:w="15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黑体" w:hAnsi="黑体" w:eastAsia="黑体" w:cs="宋体"/>
                <w:kern w:val="0"/>
                <w:sz w:val="24"/>
                <w:szCs w:val="24"/>
              </w:rPr>
            </w:pPr>
            <w:r>
              <w:rPr>
                <w:rFonts w:hint="eastAsia" w:ascii="黑体" w:hAnsi="黑体" w:eastAsia="黑体" w:cs="宋体"/>
                <w:kern w:val="0"/>
                <w:sz w:val="24"/>
                <w:szCs w:val="24"/>
              </w:rPr>
              <w:t>行政处罚案卷</w:t>
            </w:r>
          </w:p>
        </w:tc>
        <w:tc>
          <w:tcPr>
            <w:tcW w:w="21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3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14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518" w:hRule="atLeast"/>
          <w:jc w:val="center"/>
        </w:trPr>
        <w:tc>
          <w:tcPr>
            <w:tcW w:w="15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szCs w:val="24"/>
              </w:rPr>
            </w:pPr>
          </w:p>
        </w:tc>
        <w:tc>
          <w:tcPr>
            <w:tcW w:w="21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3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14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518" w:hRule="atLeast"/>
          <w:jc w:val="center"/>
        </w:trPr>
        <w:tc>
          <w:tcPr>
            <w:tcW w:w="15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szCs w:val="24"/>
              </w:rPr>
            </w:pPr>
          </w:p>
        </w:tc>
        <w:tc>
          <w:tcPr>
            <w:tcW w:w="21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3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14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517" w:hRule="atLeast"/>
          <w:jc w:val="center"/>
        </w:trPr>
        <w:tc>
          <w:tcPr>
            <w:tcW w:w="15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szCs w:val="24"/>
              </w:rPr>
            </w:pPr>
          </w:p>
        </w:tc>
        <w:tc>
          <w:tcPr>
            <w:tcW w:w="21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3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14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518" w:hRule="atLeast"/>
          <w:jc w:val="center"/>
        </w:trPr>
        <w:tc>
          <w:tcPr>
            <w:tcW w:w="15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szCs w:val="24"/>
              </w:rPr>
            </w:pPr>
          </w:p>
        </w:tc>
        <w:tc>
          <w:tcPr>
            <w:tcW w:w="21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3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14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518" w:hRule="atLeast"/>
          <w:jc w:val="center"/>
        </w:trPr>
        <w:tc>
          <w:tcPr>
            <w:tcW w:w="15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szCs w:val="24"/>
              </w:rPr>
            </w:pPr>
          </w:p>
        </w:tc>
        <w:tc>
          <w:tcPr>
            <w:tcW w:w="21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3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14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518" w:hRule="atLeast"/>
          <w:jc w:val="center"/>
        </w:trPr>
        <w:tc>
          <w:tcPr>
            <w:tcW w:w="15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szCs w:val="24"/>
              </w:rPr>
            </w:pPr>
          </w:p>
        </w:tc>
        <w:tc>
          <w:tcPr>
            <w:tcW w:w="21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3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14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518" w:hRule="atLeast"/>
          <w:jc w:val="center"/>
        </w:trPr>
        <w:tc>
          <w:tcPr>
            <w:tcW w:w="15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szCs w:val="24"/>
              </w:rPr>
            </w:pPr>
          </w:p>
        </w:tc>
        <w:tc>
          <w:tcPr>
            <w:tcW w:w="21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3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14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518" w:hRule="atLeast"/>
          <w:jc w:val="center"/>
        </w:trPr>
        <w:tc>
          <w:tcPr>
            <w:tcW w:w="15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4"/>
                <w:szCs w:val="24"/>
              </w:rPr>
            </w:pPr>
          </w:p>
        </w:tc>
        <w:tc>
          <w:tcPr>
            <w:tcW w:w="21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38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c>
          <w:tcPr>
            <w:tcW w:w="142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4"/>
                <w:szCs w:val="24"/>
              </w:rPr>
            </w:pPr>
          </w:p>
        </w:tc>
      </w:tr>
    </w:tbl>
    <w:p>
      <w:pPr>
        <w:widowControl/>
        <w:spacing w:line="400" w:lineRule="exact"/>
        <w:jc w:val="left"/>
        <w:rPr>
          <w:rFonts w:ascii="仿宋" w:hAnsi="仿宋" w:eastAsia="仿宋" w:cs="宋体"/>
          <w:kern w:val="0"/>
          <w:sz w:val="24"/>
          <w:szCs w:val="24"/>
        </w:rPr>
      </w:pPr>
      <w:r>
        <w:rPr>
          <w:rFonts w:hint="eastAsia" w:ascii="仿宋" w:hAnsi="仿宋" w:eastAsia="仿宋" w:cs="宋体"/>
          <w:kern w:val="0"/>
          <w:sz w:val="24"/>
          <w:szCs w:val="24"/>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Layout w:type="fixed"/>
        <w:tblCellMar>
          <w:top w:w="0" w:type="dxa"/>
          <w:left w:w="108" w:type="dxa"/>
          <w:bottom w:w="0" w:type="dxa"/>
          <w:right w:w="108" w:type="dxa"/>
        </w:tblCellMar>
      </w:tblPr>
      <w:tblGrid>
        <w:gridCol w:w="817"/>
        <w:gridCol w:w="7903"/>
      </w:tblGrid>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宋体"/>
                <w:kern w:val="0"/>
                <w:sz w:val="24"/>
                <w:szCs w:val="24"/>
              </w:rPr>
            </w:pPr>
            <w:r>
              <w:rPr>
                <w:rFonts w:hint="eastAsia" w:ascii="黑体" w:hAnsi="黑体" w:eastAsia="黑体" w:cs="宋体"/>
                <w:kern w:val="0"/>
                <w:sz w:val="24"/>
                <w:szCs w:val="24"/>
              </w:rPr>
              <w:t>案卷自查发现的问题</w:t>
            </w:r>
          </w:p>
        </w:tc>
        <w:tc>
          <w:tcPr>
            <w:tcW w:w="7903" w:type="dxa"/>
            <w:tcBorders>
              <w:top w:val="single" w:color="auto" w:sz="4" w:space="0"/>
              <w:left w:val="nil"/>
              <w:bottom w:val="single" w:color="auto" w:sz="4" w:space="0"/>
              <w:right w:val="single" w:color="auto" w:sz="4" w:space="0"/>
            </w:tcBorders>
          </w:tcPr>
          <w:p>
            <w:pPr>
              <w:widowControl/>
              <w:spacing w:line="560" w:lineRule="exact"/>
              <w:jc w:val="left"/>
              <w:rPr>
                <w:rFonts w:ascii="仿宋" w:hAnsi="仿宋" w:eastAsia="仿宋" w:cs="宋体"/>
                <w:kern w:val="0"/>
                <w:sz w:val="24"/>
                <w:szCs w:val="24"/>
              </w:rPr>
            </w:pPr>
          </w:p>
          <w:p>
            <w:pPr>
              <w:widowControl/>
              <w:spacing w:line="560" w:lineRule="exact"/>
              <w:jc w:val="left"/>
              <w:rPr>
                <w:rFonts w:ascii="仿宋" w:hAnsi="仿宋" w:eastAsia="仿宋" w:cs="宋体"/>
                <w:kern w:val="0"/>
                <w:sz w:val="24"/>
                <w:szCs w:val="24"/>
              </w:rPr>
            </w:pPr>
          </w:p>
          <w:p>
            <w:pPr>
              <w:widowControl/>
              <w:spacing w:line="560" w:lineRule="exact"/>
              <w:jc w:val="left"/>
              <w:rPr>
                <w:rFonts w:ascii="仿宋" w:hAnsi="仿宋" w:eastAsia="仿宋" w:cs="宋体"/>
                <w:kern w:val="0"/>
                <w:sz w:val="24"/>
                <w:szCs w:val="24"/>
              </w:rPr>
            </w:pPr>
          </w:p>
          <w:p>
            <w:pPr>
              <w:widowControl/>
              <w:spacing w:line="560" w:lineRule="exact"/>
              <w:jc w:val="left"/>
              <w:rPr>
                <w:rFonts w:ascii="仿宋" w:hAnsi="仿宋" w:eastAsia="仿宋" w:cs="宋体"/>
                <w:kern w:val="0"/>
                <w:sz w:val="24"/>
                <w:szCs w:val="24"/>
              </w:rPr>
            </w:pPr>
          </w:p>
          <w:p>
            <w:pPr>
              <w:widowControl/>
              <w:spacing w:line="560" w:lineRule="exact"/>
              <w:jc w:val="left"/>
              <w:rPr>
                <w:rFonts w:ascii="仿宋" w:hAnsi="仿宋" w:eastAsia="仿宋" w:cs="宋体"/>
                <w:kern w:val="0"/>
                <w:sz w:val="24"/>
                <w:szCs w:val="24"/>
              </w:rPr>
            </w:pPr>
          </w:p>
          <w:p>
            <w:pPr>
              <w:widowControl/>
              <w:spacing w:line="560" w:lineRule="exact"/>
              <w:jc w:val="left"/>
              <w:rPr>
                <w:rFonts w:ascii="仿宋" w:hAnsi="仿宋" w:eastAsia="仿宋" w:cs="宋体"/>
                <w:kern w:val="0"/>
                <w:sz w:val="24"/>
                <w:szCs w:val="24"/>
              </w:rPr>
            </w:pPr>
          </w:p>
          <w:p>
            <w:pPr>
              <w:widowControl/>
              <w:spacing w:line="560" w:lineRule="exact"/>
              <w:jc w:val="left"/>
              <w:rPr>
                <w:rFonts w:ascii="仿宋" w:hAnsi="仿宋" w:eastAsia="仿宋" w:cs="宋体"/>
                <w:kern w:val="0"/>
                <w:sz w:val="24"/>
                <w:szCs w:val="24"/>
              </w:rPr>
            </w:pPr>
          </w:p>
          <w:p>
            <w:pPr>
              <w:widowControl/>
              <w:spacing w:line="560" w:lineRule="exact"/>
              <w:jc w:val="left"/>
              <w:rPr>
                <w:rFonts w:ascii="仿宋" w:hAnsi="仿宋" w:eastAsia="仿宋" w:cs="宋体"/>
                <w:kern w:val="0"/>
                <w:sz w:val="24"/>
                <w:szCs w:val="24"/>
              </w:rPr>
            </w:pPr>
          </w:p>
          <w:p>
            <w:pPr>
              <w:widowControl/>
              <w:spacing w:line="560" w:lineRule="exact"/>
              <w:jc w:val="left"/>
              <w:rPr>
                <w:rFonts w:ascii="仿宋" w:hAnsi="仿宋" w:eastAsia="仿宋" w:cs="宋体"/>
                <w:kern w:val="0"/>
                <w:sz w:val="24"/>
                <w:szCs w:val="24"/>
              </w:rPr>
            </w:pPr>
          </w:p>
          <w:p>
            <w:pPr>
              <w:widowControl/>
              <w:spacing w:line="560" w:lineRule="exact"/>
              <w:jc w:val="left"/>
              <w:rPr>
                <w:rFonts w:ascii="仿宋" w:hAnsi="仿宋" w:eastAsia="仿宋" w:cs="宋体"/>
                <w:kern w:val="0"/>
                <w:sz w:val="24"/>
                <w:szCs w:val="24"/>
              </w:rPr>
            </w:pPr>
          </w:p>
          <w:p>
            <w:pPr>
              <w:widowControl/>
              <w:spacing w:line="560" w:lineRule="exact"/>
              <w:jc w:val="left"/>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黑体" w:hAnsi="黑体" w:eastAsia="黑体" w:cs="宋体"/>
                <w:kern w:val="0"/>
                <w:sz w:val="24"/>
                <w:szCs w:val="24"/>
              </w:rPr>
            </w:pPr>
            <w:r>
              <w:rPr>
                <w:rFonts w:hint="eastAsia" w:ascii="黑体" w:hAnsi="黑体" w:eastAsia="黑体" w:cs="宋体"/>
                <w:kern w:val="0"/>
                <w:sz w:val="24"/>
                <w:szCs w:val="24"/>
              </w:rPr>
              <w:t>下一步工作措施</w:t>
            </w:r>
          </w:p>
        </w:tc>
        <w:tc>
          <w:tcPr>
            <w:tcW w:w="7903" w:type="dxa"/>
            <w:tcBorders>
              <w:top w:val="single" w:color="auto" w:sz="4" w:space="0"/>
              <w:left w:val="nil"/>
              <w:bottom w:val="single" w:color="auto" w:sz="4" w:space="0"/>
              <w:right w:val="single" w:color="auto" w:sz="4" w:space="0"/>
            </w:tcBorders>
          </w:tcPr>
          <w:p>
            <w:pPr>
              <w:widowControl/>
              <w:spacing w:line="560" w:lineRule="exact"/>
              <w:jc w:val="left"/>
              <w:rPr>
                <w:rFonts w:ascii="仿宋" w:hAnsi="仿宋" w:eastAsia="仿宋" w:cs="宋体"/>
                <w:kern w:val="0"/>
                <w:sz w:val="24"/>
                <w:szCs w:val="24"/>
              </w:rPr>
            </w:pPr>
          </w:p>
          <w:p>
            <w:pPr>
              <w:widowControl/>
              <w:spacing w:line="560" w:lineRule="exact"/>
              <w:jc w:val="left"/>
              <w:rPr>
                <w:rFonts w:ascii="仿宋" w:hAnsi="仿宋" w:eastAsia="仿宋" w:cs="宋体"/>
                <w:kern w:val="0"/>
                <w:sz w:val="24"/>
                <w:szCs w:val="24"/>
              </w:rPr>
            </w:pPr>
          </w:p>
          <w:p>
            <w:pPr>
              <w:widowControl/>
              <w:spacing w:line="560" w:lineRule="exact"/>
              <w:jc w:val="left"/>
              <w:rPr>
                <w:rFonts w:ascii="仿宋" w:hAnsi="仿宋" w:eastAsia="仿宋" w:cs="宋体"/>
                <w:kern w:val="0"/>
                <w:sz w:val="24"/>
                <w:szCs w:val="24"/>
              </w:rPr>
            </w:pPr>
          </w:p>
          <w:p>
            <w:pPr>
              <w:widowControl/>
              <w:spacing w:line="560" w:lineRule="exact"/>
              <w:jc w:val="left"/>
              <w:rPr>
                <w:rFonts w:ascii="仿宋" w:hAnsi="仿宋" w:eastAsia="仿宋" w:cs="宋体"/>
                <w:kern w:val="0"/>
                <w:sz w:val="24"/>
                <w:szCs w:val="24"/>
              </w:rPr>
            </w:pPr>
          </w:p>
          <w:p>
            <w:pPr>
              <w:widowControl/>
              <w:spacing w:line="560" w:lineRule="exact"/>
              <w:jc w:val="left"/>
              <w:rPr>
                <w:rFonts w:ascii="仿宋" w:hAnsi="仿宋" w:eastAsia="仿宋" w:cs="宋体"/>
                <w:kern w:val="0"/>
                <w:sz w:val="24"/>
                <w:szCs w:val="24"/>
              </w:rPr>
            </w:pPr>
          </w:p>
          <w:p>
            <w:pPr>
              <w:widowControl/>
              <w:spacing w:line="560" w:lineRule="exact"/>
              <w:jc w:val="left"/>
              <w:rPr>
                <w:rFonts w:ascii="仿宋" w:hAnsi="仿宋" w:eastAsia="仿宋" w:cs="宋体"/>
                <w:kern w:val="0"/>
                <w:sz w:val="24"/>
                <w:szCs w:val="24"/>
              </w:rPr>
            </w:pPr>
          </w:p>
          <w:p>
            <w:pPr>
              <w:widowControl/>
              <w:spacing w:line="560" w:lineRule="exact"/>
              <w:jc w:val="left"/>
              <w:rPr>
                <w:rFonts w:ascii="仿宋" w:hAnsi="仿宋" w:eastAsia="仿宋" w:cs="宋体"/>
                <w:kern w:val="0"/>
                <w:sz w:val="24"/>
                <w:szCs w:val="24"/>
              </w:rPr>
            </w:pPr>
          </w:p>
          <w:p>
            <w:pPr>
              <w:widowControl/>
              <w:spacing w:line="560" w:lineRule="exact"/>
              <w:jc w:val="left"/>
              <w:rPr>
                <w:rFonts w:ascii="仿宋" w:hAnsi="仿宋" w:eastAsia="仿宋" w:cs="宋体"/>
                <w:kern w:val="0"/>
                <w:sz w:val="24"/>
                <w:szCs w:val="24"/>
              </w:rPr>
            </w:pPr>
          </w:p>
          <w:p>
            <w:pPr>
              <w:widowControl/>
              <w:spacing w:line="560" w:lineRule="exact"/>
              <w:jc w:val="left"/>
              <w:rPr>
                <w:rFonts w:ascii="仿宋" w:hAnsi="仿宋" w:eastAsia="仿宋" w:cs="宋体"/>
                <w:kern w:val="0"/>
                <w:sz w:val="24"/>
                <w:szCs w:val="24"/>
              </w:rPr>
            </w:pPr>
          </w:p>
        </w:tc>
      </w:tr>
    </w:tbl>
    <w:p>
      <w:pPr>
        <w:widowControl/>
        <w:spacing w:line="560" w:lineRule="exact"/>
        <w:jc w:val="left"/>
        <w:rPr>
          <w:rFonts w:ascii="仿宋" w:hAnsi="仿宋" w:eastAsia="仿宋" w:cs="宋体"/>
          <w:kern w:val="0"/>
          <w:sz w:val="24"/>
          <w:szCs w:val="24"/>
        </w:rPr>
      </w:pPr>
      <w:r>
        <w:rPr>
          <w:rFonts w:hint="eastAsia" w:ascii="仿宋" w:hAnsi="仿宋" w:eastAsia="仿宋" w:cs="宋体"/>
          <w:kern w:val="0"/>
          <w:sz w:val="24"/>
          <w:szCs w:val="24"/>
        </w:rPr>
        <w:t>（可另附页）</w:t>
      </w:r>
    </w:p>
    <w:p>
      <w:pPr>
        <w:widowControl/>
        <w:spacing w:line="400" w:lineRule="exact"/>
        <w:jc w:val="left"/>
        <w:rPr>
          <w:rFonts w:ascii="仿宋" w:hAnsi="仿宋" w:eastAsia="仿宋" w:cs="宋体"/>
          <w:b/>
          <w:kern w:val="0"/>
          <w:sz w:val="24"/>
          <w:szCs w:val="24"/>
        </w:rPr>
      </w:pPr>
      <w:r>
        <w:rPr>
          <w:rFonts w:hint="eastAsia" w:ascii="仿宋" w:hAnsi="仿宋" w:eastAsia="仿宋" w:cs="宋体"/>
          <w:b/>
          <w:kern w:val="0"/>
          <w:sz w:val="24"/>
          <w:szCs w:val="24"/>
        </w:rPr>
        <w:t>填 报 人：                                  审 核 人：</w:t>
      </w:r>
    </w:p>
    <w:p>
      <w:pPr>
        <w:widowControl/>
        <w:spacing w:line="560" w:lineRule="exact"/>
        <w:jc w:val="left"/>
        <w:rPr>
          <w:rFonts w:ascii="仿宋" w:hAnsi="仿宋" w:eastAsia="仿宋" w:cs="宋体"/>
          <w:b/>
          <w:kern w:val="0"/>
          <w:sz w:val="24"/>
          <w:szCs w:val="24"/>
        </w:rPr>
      </w:pPr>
      <w:r>
        <w:rPr>
          <w:rFonts w:hint="eastAsia" w:ascii="仿宋" w:hAnsi="仿宋" w:eastAsia="仿宋" w:cs="宋体"/>
          <w:b/>
          <w:kern w:val="0"/>
          <w:sz w:val="24"/>
          <w:szCs w:val="24"/>
        </w:rPr>
        <w:t>联系方式：                                  填报时间：</w:t>
      </w:r>
    </w:p>
    <w:p>
      <w:pPr>
        <w:widowControl/>
        <w:spacing w:line="560" w:lineRule="exact"/>
        <w:jc w:val="left"/>
        <w:rPr>
          <w:rFonts w:ascii="黑体" w:hAnsi="黑体" w:eastAsia="黑体" w:cs="宋体"/>
          <w:kern w:val="0"/>
        </w:rPr>
      </w:pPr>
      <w:r>
        <w:rPr>
          <w:rFonts w:hint="eastAsia" w:ascii="黑体" w:hAnsi="黑体" w:eastAsia="黑体" w:cs="宋体"/>
          <w:kern w:val="0"/>
        </w:rPr>
        <w:t>附件2</w:t>
      </w:r>
    </w:p>
    <w:p>
      <w:pPr>
        <w:widowControl/>
        <w:spacing w:line="300" w:lineRule="exact"/>
        <w:jc w:val="center"/>
        <w:rPr>
          <w:rFonts w:ascii="宋体" w:hAnsi="宋体" w:cs="Times New Roman"/>
          <w:b/>
          <w:kern w:val="0"/>
          <w:sz w:val="44"/>
          <w:szCs w:val="44"/>
        </w:rPr>
      </w:pPr>
      <w:r>
        <w:rPr>
          <w:rFonts w:hint="eastAsia" w:ascii="宋体" w:hAnsi="宋体"/>
          <w:b/>
          <w:kern w:val="0"/>
          <w:sz w:val="44"/>
          <w:szCs w:val="44"/>
        </w:rPr>
        <w:t xml:space="preserve"> </w:t>
      </w:r>
    </w:p>
    <w:p>
      <w:pPr>
        <w:widowControl/>
        <w:spacing w:line="560" w:lineRule="exact"/>
        <w:jc w:val="center"/>
        <w:rPr>
          <w:rFonts w:ascii="方正小标宋简体" w:hAnsi="Times New Roman" w:eastAsia="方正小标宋简体" w:cs="宋体"/>
          <w:kern w:val="0"/>
          <w:sz w:val="44"/>
          <w:szCs w:val="44"/>
        </w:rPr>
      </w:pPr>
      <w:r>
        <w:rPr>
          <w:rFonts w:hint="eastAsia" w:ascii="方正小标宋简体" w:eastAsia="方正小标宋简体" w:cs="宋体"/>
          <w:kern w:val="0"/>
          <w:sz w:val="44"/>
          <w:szCs w:val="44"/>
        </w:rPr>
        <w:t>各旗区案卷评查和“三项制度”执行情况</w:t>
      </w:r>
    </w:p>
    <w:p>
      <w:pPr>
        <w:widowControl/>
        <w:spacing w:line="560" w:lineRule="exact"/>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督查互查安排表</w:t>
      </w:r>
    </w:p>
    <w:p>
      <w:pPr>
        <w:widowControl/>
        <w:spacing w:line="560" w:lineRule="exact"/>
        <w:jc w:val="center"/>
        <w:rPr>
          <w:rFonts w:ascii="宋体" w:hAnsi="宋体" w:cs="Times New Roman"/>
          <w:b/>
          <w:kern w:val="0"/>
          <w:sz w:val="44"/>
          <w:szCs w:val="44"/>
        </w:rPr>
      </w:pPr>
      <w:r>
        <w:rPr>
          <w:rFonts w:hint="eastAsia" w:ascii="宋体" w:hAnsi="宋体"/>
          <w:b/>
          <w:kern w:val="0"/>
          <w:sz w:val="44"/>
          <w:szCs w:val="44"/>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Layout w:type="fixed"/>
        <w:tblCellMar>
          <w:top w:w="0" w:type="dxa"/>
          <w:left w:w="108" w:type="dxa"/>
          <w:bottom w:w="0" w:type="dxa"/>
          <w:right w:w="108" w:type="dxa"/>
        </w:tblCellMar>
      </w:tblPr>
      <w:tblGrid>
        <w:gridCol w:w="2180"/>
        <w:gridCol w:w="2180"/>
        <w:gridCol w:w="2180"/>
        <w:gridCol w:w="2180"/>
      </w:tblGrid>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638" w:hRule="atLeast"/>
        </w:trPr>
        <w:tc>
          <w:tcPr>
            <w:tcW w:w="2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检查单位</w:t>
            </w:r>
          </w:p>
        </w:tc>
        <w:tc>
          <w:tcPr>
            <w:tcW w:w="2180"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被检查单位</w:t>
            </w:r>
          </w:p>
        </w:tc>
        <w:tc>
          <w:tcPr>
            <w:tcW w:w="2180"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检查单位</w:t>
            </w:r>
          </w:p>
        </w:tc>
        <w:tc>
          <w:tcPr>
            <w:tcW w:w="2180"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被检查单位</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638" w:hRule="atLeast"/>
        </w:trPr>
        <w:tc>
          <w:tcPr>
            <w:tcW w:w="2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东胜区</w:t>
            </w:r>
          </w:p>
        </w:tc>
        <w:tc>
          <w:tcPr>
            <w:tcW w:w="21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乌审旗</w:t>
            </w:r>
          </w:p>
        </w:tc>
        <w:tc>
          <w:tcPr>
            <w:tcW w:w="21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达拉特旗</w:t>
            </w:r>
          </w:p>
        </w:tc>
        <w:tc>
          <w:tcPr>
            <w:tcW w:w="21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东胜区</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638" w:hRule="atLeast"/>
        </w:trPr>
        <w:tc>
          <w:tcPr>
            <w:tcW w:w="2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康巴什</w:t>
            </w:r>
          </w:p>
        </w:tc>
        <w:tc>
          <w:tcPr>
            <w:tcW w:w="21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鄂托克前旗</w:t>
            </w:r>
          </w:p>
        </w:tc>
        <w:tc>
          <w:tcPr>
            <w:tcW w:w="21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杭锦旗</w:t>
            </w:r>
          </w:p>
        </w:tc>
        <w:tc>
          <w:tcPr>
            <w:tcW w:w="21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鄂托克旗</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638" w:hRule="atLeast"/>
        </w:trPr>
        <w:tc>
          <w:tcPr>
            <w:tcW w:w="2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伊金霍洛旗</w:t>
            </w:r>
          </w:p>
        </w:tc>
        <w:tc>
          <w:tcPr>
            <w:tcW w:w="21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杭锦旗</w:t>
            </w:r>
          </w:p>
        </w:tc>
        <w:tc>
          <w:tcPr>
            <w:tcW w:w="21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乌审旗</w:t>
            </w:r>
          </w:p>
        </w:tc>
        <w:tc>
          <w:tcPr>
            <w:tcW w:w="21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准格尔旗</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678" w:hRule="atLeast"/>
        </w:trPr>
        <w:tc>
          <w:tcPr>
            <w:tcW w:w="2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鄂托克旗</w:t>
            </w:r>
          </w:p>
        </w:tc>
        <w:tc>
          <w:tcPr>
            <w:tcW w:w="21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伊金霍洛旗</w:t>
            </w:r>
          </w:p>
        </w:tc>
        <w:tc>
          <w:tcPr>
            <w:tcW w:w="21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鄂托克前旗</w:t>
            </w:r>
          </w:p>
        </w:tc>
        <w:tc>
          <w:tcPr>
            <w:tcW w:w="21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康巴什</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638" w:hRule="atLeast"/>
        </w:trPr>
        <w:tc>
          <w:tcPr>
            <w:tcW w:w="2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准格尔旗</w:t>
            </w:r>
          </w:p>
        </w:tc>
        <w:tc>
          <w:tcPr>
            <w:tcW w:w="21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达拉特旗</w:t>
            </w:r>
          </w:p>
        </w:tc>
        <w:tc>
          <w:tcPr>
            <w:tcW w:w="21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p>
        </w:tc>
        <w:tc>
          <w:tcPr>
            <w:tcW w:w="21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p>
        </w:tc>
      </w:tr>
    </w:tbl>
    <w:p>
      <w:pPr>
        <w:widowControl/>
        <w:spacing w:line="560" w:lineRule="exact"/>
        <w:jc w:val="left"/>
        <w:rPr>
          <w:rFonts w:ascii="仿宋_GB2312" w:hAnsi="Times New Roman" w:eastAsia="仿宋_GB2312" w:cs="宋体"/>
          <w:kern w:val="0"/>
          <w:sz w:val="30"/>
          <w:szCs w:val="30"/>
        </w:rPr>
      </w:pPr>
      <w:r>
        <w:rPr>
          <w:rFonts w:hint="eastAsia" w:ascii="仿宋_GB2312" w:eastAsia="仿宋_GB2312" w:cs="宋体"/>
          <w:kern w:val="0"/>
          <w:sz w:val="30"/>
          <w:szCs w:val="30"/>
        </w:rPr>
        <w:t xml:space="preserve"> </w:t>
      </w:r>
    </w:p>
    <w:p>
      <w:pPr>
        <w:widowControl/>
        <w:spacing w:line="560" w:lineRule="exact"/>
        <w:jc w:val="left"/>
        <w:rPr>
          <w:rFonts w:ascii="仿宋_GB2312" w:eastAsia="仿宋_GB2312" w:cs="宋体"/>
          <w:kern w:val="0"/>
          <w:sz w:val="30"/>
          <w:szCs w:val="30"/>
        </w:rPr>
      </w:pPr>
      <w:r>
        <w:rPr>
          <w:rFonts w:hint="eastAsia" w:ascii="仿宋_GB2312" w:eastAsia="仿宋_GB2312" w:cs="宋体"/>
          <w:kern w:val="0"/>
          <w:sz w:val="30"/>
          <w:szCs w:val="30"/>
        </w:rPr>
        <w:t xml:space="preserve"> </w:t>
      </w:r>
    </w:p>
    <w:p>
      <w:pPr>
        <w:widowControl/>
        <w:spacing w:line="560" w:lineRule="exact"/>
        <w:jc w:val="left"/>
        <w:rPr>
          <w:rFonts w:ascii="仿宋_GB2312" w:eastAsia="仿宋_GB2312" w:cs="宋体"/>
          <w:kern w:val="0"/>
          <w:sz w:val="30"/>
          <w:szCs w:val="30"/>
        </w:rPr>
      </w:pPr>
      <w:r>
        <w:rPr>
          <w:rFonts w:hint="eastAsia" w:ascii="仿宋_GB2312" w:eastAsia="仿宋_GB2312" w:cs="宋体"/>
          <w:kern w:val="0"/>
          <w:sz w:val="30"/>
          <w:szCs w:val="30"/>
        </w:rPr>
        <w:t xml:space="preserve"> </w:t>
      </w:r>
    </w:p>
    <w:p>
      <w:pPr>
        <w:widowControl/>
        <w:spacing w:line="560" w:lineRule="exact"/>
        <w:jc w:val="left"/>
        <w:rPr>
          <w:rFonts w:ascii="仿宋_GB2312" w:eastAsia="仿宋_GB2312" w:cs="宋体"/>
          <w:kern w:val="0"/>
          <w:sz w:val="30"/>
          <w:szCs w:val="30"/>
        </w:rPr>
      </w:pPr>
      <w:r>
        <w:rPr>
          <w:rFonts w:hint="eastAsia" w:ascii="仿宋_GB2312" w:eastAsia="仿宋_GB2312" w:cs="宋体"/>
          <w:kern w:val="0"/>
          <w:sz w:val="30"/>
          <w:szCs w:val="30"/>
        </w:rPr>
        <w:t xml:space="preserve"> </w:t>
      </w:r>
    </w:p>
    <w:p>
      <w:pPr>
        <w:widowControl/>
        <w:spacing w:line="560" w:lineRule="exact"/>
        <w:jc w:val="left"/>
        <w:rPr>
          <w:rFonts w:ascii="仿宋_GB2312" w:eastAsia="仿宋_GB2312" w:cs="宋体"/>
          <w:kern w:val="0"/>
          <w:sz w:val="30"/>
          <w:szCs w:val="30"/>
        </w:rPr>
      </w:pPr>
      <w:r>
        <w:rPr>
          <w:rFonts w:hint="eastAsia" w:ascii="仿宋_GB2312" w:eastAsia="仿宋_GB2312" w:cs="宋体"/>
          <w:kern w:val="0"/>
          <w:sz w:val="30"/>
          <w:szCs w:val="30"/>
        </w:rPr>
        <w:t xml:space="preserve"> </w:t>
      </w:r>
    </w:p>
    <w:p>
      <w:pPr>
        <w:widowControl/>
        <w:spacing w:line="560" w:lineRule="exact"/>
        <w:jc w:val="left"/>
        <w:rPr>
          <w:rFonts w:ascii="仿宋_GB2312" w:eastAsia="仿宋_GB2312" w:cs="宋体"/>
          <w:kern w:val="0"/>
          <w:sz w:val="30"/>
          <w:szCs w:val="30"/>
        </w:rPr>
      </w:pPr>
      <w:r>
        <w:rPr>
          <w:rFonts w:hint="eastAsia" w:ascii="仿宋_GB2312" w:eastAsia="仿宋_GB2312" w:cs="宋体"/>
          <w:kern w:val="0"/>
          <w:sz w:val="30"/>
          <w:szCs w:val="30"/>
        </w:rPr>
        <w:t xml:space="preserve"> </w:t>
      </w:r>
    </w:p>
    <w:p>
      <w:pPr>
        <w:widowControl/>
        <w:spacing w:line="560" w:lineRule="exact"/>
        <w:jc w:val="left"/>
        <w:rPr>
          <w:rFonts w:ascii="仿宋_GB2312" w:eastAsia="仿宋_GB2312" w:cs="宋体"/>
          <w:kern w:val="0"/>
          <w:sz w:val="30"/>
          <w:szCs w:val="30"/>
        </w:rPr>
      </w:pPr>
      <w:r>
        <w:rPr>
          <w:rFonts w:hint="eastAsia" w:ascii="仿宋_GB2312" w:eastAsia="仿宋_GB2312" w:cs="宋体"/>
          <w:kern w:val="0"/>
          <w:sz w:val="30"/>
          <w:szCs w:val="30"/>
        </w:rPr>
        <w:t xml:space="preserve"> </w:t>
      </w:r>
    </w:p>
    <w:p>
      <w:pPr>
        <w:widowControl/>
        <w:spacing w:line="560" w:lineRule="exact"/>
        <w:jc w:val="left"/>
        <w:rPr>
          <w:rFonts w:ascii="仿宋_GB2312" w:eastAsia="仿宋_GB2312" w:cs="宋体"/>
          <w:kern w:val="0"/>
          <w:sz w:val="30"/>
          <w:szCs w:val="30"/>
        </w:rPr>
      </w:pPr>
      <w:r>
        <w:rPr>
          <w:rFonts w:hint="eastAsia" w:ascii="仿宋_GB2312" w:eastAsia="仿宋_GB2312" w:cs="宋体"/>
          <w:kern w:val="0"/>
          <w:sz w:val="30"/>
          <w:szCs w:val="30"/>
        </w:rPr>
        <w:t xml:space="preserve"> </w:t>
      </w:r>
    </w:p>
    <w:p>
      <w:pPr>
        <w:widowControl/>
        <w:spacing w:line="560" w:lineRule="exact"/>
        <w:jc w:val="left"/>
        <w:rPr>
          <w:rFonts w:ascii="仿宋_GB2312" w:eastAsia="仿宋_GB2312" w:cs="宋体"/>
          <w:kern w:val="0"/>
          <w:sz w:val="30"/>
          <w:szCs w:val="30"/>
        </w:rPr>
      </w:pPr>
      <w:r>
        <w:rPr>
          <w:rFonts w:hint="eastAsia" w:ascii="仿宋_GB2312" w:eastAsia="仿宋_GB2312" w:cs="宋体"/>
          <w:kern w:val="0"/>
          <w:sz w:val="30"/>
          <w:szCs w:val="30"/>
        </w:rPr>
        <w:t xml:space="preserve"> </w:t>
      </w:r>
    </w:p>
    <w:p>
      <w:pPr>
        <w:widowControl/>
        <w:spacing w:line="560" w:lineRule="exact"/>
        <w:jc w:val="left"/>
        <w:rPr>
          <w:rFonts w:ascii="仿宋_GB2312" w:eastAsia="仿宋_GB2312" w:cs="宋体"/>
          <w:kern w:val="0"/>
          <w:sz w:val="30"/>
          <w:szCs w:val="30"/>
        </w:rPr>
      </w:pPr>
      <w:r>
        <w:rPr>
          <w:rFonts w:hint="eastAsia" w:ascii="仿宋_GB2312" w:eastAsia="仿宋_GB2312" w:cs="宋体"/>
          <w:kern w:val="0"/>
          <w:sz w:val="30"/>
          <w:szCs w:val="30"/>
        </w:rPr>
        <w:t xml:space="preserve"> </w:t>
      </w:r>
    </w:p>
    <w:p>
      <w:pPr>
        <w:widowControl/>
        <w:spacing w:line="560" w:lineRule="exact"/>
        <w:jc w:val="left"/>
        <w:rPr>
          <w:rFonts w:ascii="仿宋_GB2312" w:eastAsia="仿宋_GB2312" w:cs="宋体"/>
          <w:kern w:val="0"/>
          <w:sz w:val="30"/>
          <w:szCs w:val="30"/>
        </w:rPr>
      </w:pPr>
      <w:r>
        <w:rPr>
          <w:rFonts w:hint="eastAsia" w:ascii="仿宋_GB2312" w:eastAsia="仿宋_GB2312" w:cs="宋体"/>
          <w:kern w:val="0"/>
          <w:sz w:val="30"/>
          <w:szCs w:val="30"/>
        </w:rPr>
        <w:t xml:space="preserve"> </w:t>
      </w:r>
    </w:p>
    <w:p>
      <w:pPr>
        <w:widowControl/>
        <w:spacing w:line="560" w:lineRule="exact"/>
        <w:jc w:val="left"/>
        <w:rPr>
          <w:rFonts w:ascii="黑体" w:hAnsi="黑体" w:eastAsia="黑体" w:cs="宋体"/>
          <w:kern w:val="0"/>
        </w:rPr>
      </w:pPr>
      <w:r>
        <w:rPr>
          <w:rFonts w:hint="eastAsia" w:ascii="仿宋_GB2312" w:eastAsia="仿宋_GB2312" w:cs="宋体"/>
          <w:kern w:val="0"/>
          <w:sz w:val="30"/>
          <w:szCs w:val="30"/>
        </w:rPr>
        <w:t xml:space="preserve"> </w:t>
      </w:r>
      <w:r>
        <w:rPr>
          <w:rFonts w:hint="eastAsia" w:ascii="黑体" w:hAnsi="黑体" w:eastAsia="黑体" w:cs="宋体"/>
          <w:kern w:val="0"/>
        </w:rPr>
        <w:t>附件3</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鄂尔多斯市应急管理系统行政许可</w:t>
      </w:r>
    </w:p>
    <w:p>
      <w:pPr>
        <w:spacing w:line="600" w:lineRule="exact"/>
        <w:jc w:val="center"/>
        <w:rPr>
          <w:rFonts w:ascii="方正小标宋简体" w:hAnsi="Times New Roman" w:eastAsia="方正小标宋简体" w:cs="Times New Roman"/>
          <w:sz w:val="44"/>
          <w:szCs w:val="44"/>
        </w:rPr>
      </w:pPr>
      <w:r>
        <w:rPr>
          <w:rFonts w:hint="eastAsia" w:ascii="方正小标宋简体" w:eastAsia="方正小标宋简体"/>
          <w:sz w:val="44"/>
          <w:szCs w:val="44"/>
        </w:rPr>
        <w:t>案卷评查内容和标准</w:t>
      </w:r>
    </w:p>
    <w:tbl>
      <w:tblPr>
        <w:tblStyle w:val="3"/>
        <w:tblW w:w="9013" w:type="dxa"/>
        <w:jc w:val="center"/>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Layout w:type="fixed"/>
        <w:tblCellMar>
          <w:top w:w="0" w:type="dxa"/>
          <w:left w:w="108" w:type="dxa"/>
          <w:bottom w:w="0" w:type="dxa"/>
          <w:right w:w="108" w:type="dxa"/>
        </w:tblCellMar>
      </w:tblPr>
      <w:tblGrid>
        <w:gridCol w:w="569"/>
        <w:gridCol w:w="567"/>
        <w:gridCol w:w="3802"/>
        <w:gridCol w:w="3360"/>
        <w:gridCol w:w="715"/>
      </w:tblGrid>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PrEx>
        <w:trPr>
          <w:trHeight w:val="652" w:hRule="atLeast"/>
          <w:tblHeader/>
          <w:jc w:val="center"/>
        </w:trPr>
        <w:tc>
          <w:tcPr>
            <w:tcW w:w="56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rPr>
                <w:rFonts w:ascii="黑体" w:hAnsi="黑体" w:eastAsia="黑体"/>
                <w:sz w:val="20"/>
                <w:szCs w:val="20"/>
              </w:rPr>
            </w:pPr>
            <w:r>
              <w:rPr>
                <w:rFonts w:hint="eastAsia" w:ascii="黑体" w:hAnsi="黑体" w:eastAsia="黑体"/>
                <w:sz w:val="20"/>
                <w:szCs w:val="20"/>
              </w:rPr>
              <w:t>分类</w:t>
            </w:r>
          </w:p>
        </w:tc>
        <w:tc>
          <w:tcPr>
            <w:tcW w:w="56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widowControl/>
              <w:jc w:val="center"/>
              <w:rPr>
                <w:rFonts w:ascii="黑体" w:hAnsi="黑体" w:eastAsia="黑体"/>
                <w:sz w:val="20"/>
                <w:szCs w:val="20"/>
              </w:rPr>
            </w:pPr>
            <w:r>
              <w:rPr>
                <w:rFonts w:hint="eastAsia" w:ascii="黑体" w:hAnsi="黑体" w:eastAsia="黑体"/>
                <w:sz w:val="20"/>
                <w:szCs w:val="20"/>
              </w:rPr>
              <w:t>序号</w:t>
            </w:r>
          </w:p>
        </w:tc>
        <w:tc>
          <w:tcPr>
            <w:tcW w:w="3802"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sz w:val="20"/>
                <w:szCs w:val="20"/>
              </w:rPr>
            </w:pPr>
            <w:r>
              <w:rPr>
                <w:rFonts w:hint="eastAsia" w:ascii="黑体" w:hAnsi="黑体" w:eastAsia="黑体"/>
                <w:sz w:val="20"/>
                <w:szCs w:val="20"/>
              </w:rPr>
              <w:t>评查内容</w:t>
            </w:r>
          </w:p>
        </w:tc>
        <w:tc>
          <w:tcPr>
            <w:tcW w:w="3360"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sz w:val="20"/>
                <w:szCs w:val="20"/>
              </w:rPr>
            </w:pPr>
            <w:r>
              <w:rPr>
                <w:rFonts w:hint="eastAsia" w:ascii="黑体" w:hAnsi="黑体" w:eastAsia="黑体"/>
                <w:sz w:val="20"/>
                <w:szCs w:val="20"/>
              </w:rPr>
              <w:t>评分方法及标准</w:t>
            </w:r>
          </w:p>
        </w:tc>
        <w:tc>
          <w:tcPr>
            <w:tcW w:w="715"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sz w:val="20"/>
                <w:szCs w:val="20"/>
              </w:rPr>
            </w:pPr>
            <w:r>
              <w:rPr>
                <w:rFonts w:hint="eastAsia" w:ascii="黑体" w:hAnsi="黑体" w:eastAsia="黑体"/>
                <w:sz w:val="20"/>
                <w:szCs w:val="20"/>
              </w:rPr>
              <w:t>扣分</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1256" w:hRule="atLeast"/>
          <w:jc w:val="center"/>
        </w:trPr>
        <w:tc>
          <w:tcPr>
            <w:tcW w:w="569" w:type="dxa"/>
            <w:vMerge w:val="restart"/>
            <w:tcBorders>
              <w:top w:val="nil"/>
              <w:left w:val="single" w:color="auto" w:sz="4" w:space="0"/>
              <w:bottom w:val="single" w:color="auto" w:sz="4" w:space="0"/>
              <w:right w:val="single" w:color="auto" w:sz="4" w:space="0"/>
            </w:tcBorders>
            <w:vAlign w:val="center"/>
          </w:tcPr>
          <w:p>
            <w:pPr>
              <w:widowControl/>
              <w:ind w:left="113" w:right="113"/>
              <w:jc w:val="center"/>
              <w:rPr>
                <w:rFonts w:ascii="宋体" w:hAnsi="宋体"/>
                <w:sz w:val="20"/>
                <w:szCs w:val="20"/>
              </w:rPr>
            </w:pPr>
            <w:r>
              <w:rPr>
                <w:rFonts w:hint="eastAsia" w:ascii="宋体" w:hAnsi="宋体"/>
                <w:sz w:val="20"/>
                <w:szCs w:val="20"/>
              </w:rPr>
              <w:t>申  请  与  受  理</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w:t>
            </w:r>
          </w:p>
        </w:tc>
        <w:tc>
          <w:tcPr>
            <w:tcW w:w="3802"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行政许可申请书格式。申请书需要采用格式文本的，行政机关应当向申请人提供行政许可格式文本。</w:t>
            </w:r>
          </w:p>
        </w:tc>
        <w:tc>
          <w:tcPr>
            <w:tcW w:w="3360"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查申请书格式文本。申请书格式文本书写不规范的、申请书格式文本中包含与申请行政许可事项没有直接关系的内容。扣3分。</w:t>
            </w:r>
          </w:p>
        </w:tc>
        <w:tc>
          <w:tcPr>
            <w:tcW w:w="715"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1118" w:hRule="atLeast"/>
          <w:jc w:val="center"/>
        </w:trPr>
        <w:tc>
          <w:tcPr>
            <w:tcW w:w="5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2</w:t>
            </w:r>
          </w:p>
        </w:tc>
        <w:tc>
          <w:tcPr>
            <w:tcW w:w="3802"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行政许可一次性告知制度。申请材料不齐全或者不符合法定形式的，应当当场或在五日内一次告知申请人需要补正的全部内容。</w:t>
            </w:r>
          </w:p>
        </w:tc>
        <w:tc>
          <w:tcPr>
            <w:tcW w:w="3360"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查行政许可申请材料补正告知书。未告知的扣4分。</w:t>
            </w:r>
          </w:p>
        </w:tc>
        <w:tc>
          <w:tcPr>
            <w:tcW w:w="715"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925" w:hRule="atLeast"/>
          <w:jc w:val="center"/>
        </w:trPr>
        <w:tc>
          <w:tcPr>
            <w:tcW w:w="5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3</w:t>
            </w:r>
          </w:p>
        </w:tc>
        <w:tc>
          <w:tcPr>
            <w:tcW w:w="3802"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行政机关受理行政许可申请，应当出具加盖本行政机关专用印章和注明日期的书面凭证。</w:t>
            </w:r>
          </w:p>
        </w:tc>
        <w:tc>
          <w:tcPr>
            <w:tcW w:w="3360"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查行政许可申请受理通知书。内容不规范的扣5分。</w:t>
            </w:r>
          </w:p>
        </w:tc>
        <w:tc>
          <w:tcPr>
            <w:tcW w:w="715"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1862" w:hRule="atLeast"/>
          <w:jc w:val="center"/>
        </w:trPr>
        <w:tc>
          <w:tcPr>
            <w:tcW w:w="569" w:type="dxa"/>
            <w:vMerge w:val="restart"/>
            <w:tcBorders>
              <w:top w:val="nil"/>
              <w:left w:val="single" w:color="auto" w:sz="4" w:space="0"/>
              <w:bottom w:val="single" w:color="auto" w:sz="4" w:space="0"/>
              <w:right w:val="single" w:color="auto" w:sz="4" w:space="0"/>
            </w:tcBorders>
            <w:vAlign w:val="center"/>
          </w:tcPr>
          <w:p>
            <w:pPr>
              <w:widowControl/>
              <w:ind w:left="113" w:right="113"/>
              <w:jc w:val="center"/>
              <w:rPr>
                <w:rFonts w:ascii="宋体" w:hAnsi="宋体"/>
                <w:sz w:val="20"/>
                <w:szCs w:val="20"/>
              </w:rPr>
            </w:pPr>
            <w:r>
              <w:rPr>
                <w:rFonts w:hint="eastAsia" w:ascii="宋体" w:hAnsi="宋体"/>
                <w:sz w:val="20"/>
                <w:szCs w:val="20"/>
              </w:rPr>
              <w:t>审  查  与  决  定</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w:t>
            </w:r>
          </w:p>
        </w:tc>
        <w:tc>
          <w:tcPr>
            <w:tcW w:w="3802"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行政许可申请的受理。申请人提交的申请材料齐全、符合法定形式，行政机关能够当场做出决定的，应当当场做出书面的行政许可决定。</w:t>
            </w:r>
          </w:p>
          <w:p>
            <w:pPr>
              <w:widowControl/>
              <w:spacing w:line="280" w:lineRule="exact"/>
              <w:ind w:firstLine="400" w:firstLineChars="200"/>
              <w:rPr>
                <w:rFonts w:ascii="宋体" w:hAnsi="宋体"/>
                <w:sz w:val="20"/>
                <w:szCs w:val="20"/>
              </w:rPr>
            </w:pPr>
            <w:r>
              <w:rPr>
                <w:rFonts w:hint="eastAsia" w:ascii="宋体" w:hAnsi="宋体"/>
                <w:sz w:val="20"/>
                <w:szCs w:val="20"/>
              </w:rPr>
              <w:t>根据法定条件和程序，需要对申请材料的实质内容进行核实的，行政机关应当派两名以上工作人员进行核查。</w:t>
            </w:r>
          </w:p>
        </w:tc>
        <w:tc>
          <w:tcPr>
            <w:tcW w:w="3360"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查准予行政许可决定书。书写不规范的扣4分。</w:t>
            </w:r>
          </w:p>
          <w:p>
            <w:pPr>
              <w:widowControl/>
              <w:spacing w:line="280" w:lineRule="exact"/>
              <w:ind w:firstLine="400" w:firstLineChars="200"/>
              <w:rPr>
                <w:rFonts w:ascii="宋体" w:hAnsi="宋体"/>
                <w:sz w:val="20"/>
                <w:szCs w:val="20"/>
              </w:rPr>
            </w:pPr>
            <w:r>
              <w:rPr>
                <w:rFonts w:hint="eastAsia" w:ascii="宋体" w:hAnsi="宋体"/>
                <w:sz w:val="20"/>
                <w:szCs w:val="20"/>
              </w:rPr>
              <w:t>查行政许可现场核查笔录和核查程序。核查笔录内容程序不规范的扣3分。</w:t>
            </w:r>
          </w:p>
        </w:tc>
        <w:tc>
          <w:tcPr>
            <w:tcW w:w="715"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1254" w:hRule="atLeast"/>
          <w:jc w:val="center"/>
        </w:trPr>
        <w:tc>
          <w:tcPr>
            <w:tcW w:w="5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2</w:t>
            </w:r>
          </w:p>
        </w:tc>
        <w:tc>
          <w:tcPr>
            <w:tcW w:w="3802"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行政许可利害关系的告知。行政机关对行政许可申请进行审查时，发现行政许可事项直接关系他人重大利益的，应当告知利害关系人。</w:t>
            </w:r>
          </w:p>
        </w:tc>
        <w:tc>
          <w:tcPr>
            <w:tcW w:w="3360"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查行政许可陈述申辩告知书。未告知的扣3分。</w:t>
            </w:r>
          </w:p>
        </w:tc>
        <w:tc>
          <w:tcPr>
            <w:tcW w:w="715"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1144" w:hRule="atLeast"/>
          <w:jc w:val="center"/>
        </w:trPr>
        <w:tc>
          <w:tcPr>
            <w:tcW w:w="5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3</w:t>
            </w:r>
          </w:p>
        </w:tc>
        <w:tc>
          <w:tcPr>
            <w:tcW w:w="3802"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行政许可的决定。申请人的申请符合法定条件、标准的，行政机关应当依法做出准予行政许可的书面决定。</w:t>
            </w:r>
          </w:p>
        </w:tc>
        <w:tc>
          <w:tcPr>
            <w:tcW w:w="3360"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查准予行政许可决定书。书写不规范的扣3分。</w:t>
            </w:r>
          </w:p>
        </w:tc>
        <w:tc>
          <w:tcPr>
            <w:tcW w:w="715"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p>
            <w:pPr>
              <w:widowControl/>
              <w:jc w:val="center"/>
              <w:rPr>
                <w:rFonts w:ascii="宋体" w:hAnsi="宋体"/>
                <w:sz w:val="20"/>
                <w:szCs w:val="20"/>
              </w:rPr>
            </w:pPr>
          </w:p>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2458" w:hRule="atLeast"/>
          <w:jc w:val="center"/>
        </w:trPr>
        <w:tc>
          <w:tcPr>
            <w:tcW w:w="5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4</w:t>
            </w:r>
          </w:p>
        </w:tc>
        <w:tc>
          <w:tcPr>
            <w:tcW w:w="3802"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行政许可证书的颁发。行政机关做出准予行政许可的决定，需要颁发行政许可证件的，应当向申请人颁发加盖本行政机关印章的下列行政许可证件：（一）许可证、执照或者其他许可证书；（二）资格证、资质证或者其他合格证书；（三）行政机关的批准文件或者证明文件；（四）法律、法规规定的其他行政许可证件。</w:t>
            </w:r>
          </w:p>
        </w:tc>
        <w:tc>
          <w:tcPr>
            <w:tcW w:w="3360"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查行政许可文书送达回证。未依法颁发行政许可证件的扣5分。</w:t>
            </w:r>
          </w:p>
          <w:p>
            <w:pPr>
              <w:widowControl/>
              <w:spacing w:line="280" w:lineRule="exact"/>
              <w:ind w:firstLine="400" w:firstLineChars="200"/>
              <w:rPr>
                <w:rFonts w:ascii="宋体" w:hAnsi="宋体"/>
                <w:sz w:val="20"/>
                <w:szCs w:val="20"/>
              </w:rPr>
            </w:pPr>
          </w:p>
          <w:p>
            <w:pPr>
              <w:widowControl/>
              <w:spacing w:line="280" w:lineRule="exact"/>
              <w:ind w:firstLine="400" w:firstLineChars="200"/>
              <w:rPr>
                <w:rFonts w:ascii="宋体" w:hAnsi="宋体"/>
                <w:sz w:val="20"/>
                <w:szCs w:val="20"/>
              </w:rPr>
            </w:pPr>
          </w:p>
          <w:p>
            <w:pPr>
              <w:widowControl/>
              <w:spacing w:line="280" w:lineRule="exact"/>
              <w:ind w:firstLine="400" w:firstLineChars="200"/>
              <w:rPr>
                <w:rFonts w:ascii="宋体" w:hAnsi="宋体"/>
                <w:sz w:val="20"/>
                <w:szCs w:val="20"/>
              </w:rPr>
            </w:pPr>
          </w:p>
        </w:tc>
        <w:tc>
          <w:tcPr>
            <w:tcW w:w="715"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4436" w:hRule="atLeast"/>
          <w:jc w:val="center"/>
        </w:trPr>
        <w:tc>
          <w:tcPr>
            <w:tcW w:w="569" w:type="dxa"/>
            <w:vMerge w:val="restart"/>
            <w:tcBorders>
              <w:top w:val="nil"/>
              <w:left w:val="single" w:color="auto" w:sz="4" w:space="0"/>
              <w:bottom w:val="single" w:color="auto" w:sz="4" w:space="0"/>
              <w:right w:val="single" w:color="auto" w:sz="4" w:space="0"/>
            </w:tcBorders>
            <w:vAlign w:val="center"/>
          </w:tcPr>
          <w:p>
            <w:pPr>
              <w:widowControl/>
              <w:ind w:left="113" w:right="113"/>
              <w:jc w:val="center"/>
              <w:rPr>
                <w:rFonts w:ascii="宋体" w:hAnsi="宋体"/>
                <w:sz w:val="20"/>
                <w:szCs w:val="20"/>
              </w:rPr>
            </w:pPr>
            <w:r>
              <w:rPr>
                <w:rFonts w:hint="eastAsia" w:ascii="宋体" w:hAnsi="宋体"/>
                <w:sz w:val="20"/>
                <w:szCs w:val="20"/>
              </w:rPr>
              <w:t>期              限</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w:t>
            </w:r>
          </w:p>
        </w:tc>
        <w:tc>
          <w:tcPr>
            <w:tcW w:w="3802"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行政许可决定做出的期限。除可以当场做出行政许可决定的外，行政机关应当自受理行政许可申请之日起二十日内做出行政许可决定。二十日内不能做出决定的，经本行政机关负责人批准，可以延长十日，并应当将延长期限的理由告知申请人。</w:t>
            </w:r>
          </w:p>
          <w:p>
            <w:pPr>
              <w:widowControl/>
              <w:spacing w:line="280" w:lineRule="exact"/>
              <w:ind w:firstLine="400" w:firstLineChars="200"/>
              <w:rPr>
                <w:rFonts w:ascii="宋体" w:hAnsi="宋体"/>
                <w:sz w:val="20"/>
                <w:szCs w:val="20"/>
              </w:rPr>
            </w:pPr>
            <w:r>
              <w:rPr>
                <w:rFonts w:hint="eastAsia" w:ascii="宋体" w:hAnsi="宋体"/>
                <w:sz w:val="20"/>
                <w:szCs w:val="20"/>
              </w:rPr>
              <w:t>行政许可采取统一或者联合办理、集中办理的，办理的时间不得超过四十五日；四十五日内不能办结的，经本级人民政府负责人批准，可以延长十五日，并应当将延长期限的理由告知申请人。</w:t>
            </w:r>
          </w:p>
          <w:p>
            <w:pPr>
              <w:widowControl/>
              <w:spacing w:line="280" w:lineRule="exact"/>
              <w:ind w:firstLine="400" w:firstLineChars="200"/>
              <w:rPr>
                <w:rFonts w:ascii="宋体" w:hAnsi="宋体"/>
                <w:sz w:val="20"/>
                <w:szCs w:val="20"/>
              </w:rPr>
            </w:pPr>
            <w:r>
              <w:rPr>
                <w:rFonts w:hint="eastAsia" w:ascii="宋体" w:hAnsi="宋体"/>
                <w:sz w:val="20"/>
                <w:szCs w:val="20"/>
              </w:rPr>
              <w:t>依法应当先经下级行政机关审查后报上级行政机关决定的行政许可，下级行政机关应当自受理行政许可申请之日起二十日内审查完毕。</w:t>
            </w:r>
          </w:p>
        </w:tc>
        <w:tc>
          <w:tcPr>
            <w:tcW w:w="3360"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查行政许可决定书或行政许可延期通知书。未按法定期限实施行政许可或未将延长期限的理由告知申请人的扣5分。</w:t>
            </w:r>
          </w:p>
          <w:p>
            <w:pPr>
              <w:widowControl/>
              <w:spacing w:line="280" w:lineRule="exact"/>
              <w:ind w:firstLine="400" w:firstLineChars="200"/>
              <w:rPr>
                <w:rFonts w:ascii="宋体" w:hAnsi="宋体"/>
                <w:sz w:val="20"/>
                <w:szCs w:val="20"/>
              </w:rPr>
            </w:pPr>
            <w:r>
              <w:rPr>
                <w:rFonts w:hint="eastAsia" w:ascii="宋体" w:hAnsi="宋体"/>
                <w:sz w:val="20"/>
                <w:szCs w:val="20"/>
              </w:rPr>
              <w:t>查行政许可决定书或行政许可延期通知书。未按法定期限办理或未经本级人民政府负责人批准延长期限的扣3分。</w:t>
            </w:r>
          </w:p>
          <w:p>
            <w:pPr>
              <w:widowControl/>
              <w:spacing w:line="280" w:lineRule="exact"/>
              <w:ind w:firstLine="400" w:firstLineChars="200"/>
              <w:rPr>
                <w:rFonts w:ascii="宋体" w:hAnsi="宋体"/>
                <w:sz w:val="20"/>
                <w:szCs w:val="20"/>
              </w:rPr>
            </w:pPr>
            <w:r>
              <w:rPr>
                <w:rFonts w:hint="eastAsia" w:ascii="宋体" w:hAnsi="宋体"/>
                <w:sz w:val="20"/>
                <w:szCs w:val="20"/>
              </w:rPr>
              <w:t>查行政许可初步审查意见或审批表。下级行政机关未按法定期限审查完毕的扣5分。</w:t>
            </w:r>
          </w:p>
        </w:tc>
        <w:tc>
          <w:tcPr>
            <w:tcW w:w="715" w:type="dxa"/>
            <w:tcBorders>
              <w:top w:val="single" w:color="auto" w:sz="4" w:space="0"/>
              <w:left w:val="nil"/>
              <w:bottom w:val="single" w:color="auto" w:sz="4" w:space="0"/>
              <w:right w:val="single" w:color="auto" w:sz="4" w:space="0"/>
            </w:tcBorders>
            <w:vAlign w:val="center"/>
          </w:tcPr>
          <w:p>
            <w:pPr>
              <w:widowControl/>
              <w:ind w:firstLine="400" w:firstLineChars="20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1214" w:hRule="atLeast"/>
          <w:jc w:val="center"/>
        </w:trPr>
        <w:tc>
          <w:tcPr>
            <w:tcW w:w="5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2</w:t>
            </w:r>
          </w:p>
        </w:tc>
        <w:tc>
          <w:tcPr>
            <w:tcW w:w="3802"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行政许可文书的送达。行政机关做出准予行政许可的决定，应当自做出决定之日起十日内向申请人颁发、送达行政许可证件。</w:t>
            </w:r>
          </w:p>
        </w:tc>
        <w:tc>
          <w:tcPr>
            <w:tcW w:w="3360"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查行政许可文书送达回证。未按期限颁发、送达行政许可证件的扣4分。</w:t>
            </w:r>
          </w:p>
        </w:tc>
        <w:tc>
          <w:tcPr>
            <w:tcW w:w="715" w:type="dxa"/>
            <w:tcBorders>
              <w:top w:val="single" w:color="auto" w:sz="4" w:space="0"/>
              <w:left w:val="nil"/>
              <w:bottom w:val="single" w:color="auto" w:sz="4" w:space="0"/>
              <w:right w:val="single" w:color="auto" w:sz="4" w:space="0"/>
            </w:tcBorders>
            <w:vAlign w:val="center"/>
          </w:tcPr>
          <w:p>
            <w:pPr>
              <w:widowControl/>
              <w:ind w:firstLine="400" w:firstLineChars="20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1412" w:hRule="atLeast"/>
          <w:jc w:val="center"/>
        </w:trPr>
        <w:tc>
          <w:tcPr>
            <w:tcW w:w="5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3</w:t>
            </w:r>
          </w:p>
        </w:tc>
        <w:tc>
          <w:tcPr>
            <w:tcW w:w="3802"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做出行政许可决定的其他条件的适用。行政机关做出行政许可决定，依法需要听证、招标、拍卖、检验、检测、检疫、鉴定和专家评审的，行政机关应当将所需时间书面告知申请人。</w:t>
            </w:r>
          </w:p>
        </w:tc>
        <w:tc>
          <w:tcPr>
            <w:tcW w:w="3360"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查行政许可所需时间通知书。未书面告知的扣3分。</w:t>
            </w:r>
          </w:p>
        </w:tc>
        <w:tc>
          <w:tcPr>
            <w:tcW w:w="715" w:type="dxa"/>
            <w:tcBorders>
              <w:top w:val="single" w:color="auto" w:sz="4" w:space="0"/>
              <w:left w:val="nil"/>
              <w:bottom w:val="single" w:color="auto" w:sz="4" w:space="0"/>
              <w:right w:val="single" w:color="auto" w:sz="4" w:space="0"/>
            </w:tcBorders>
            <w:vAlign w:val="center"/>
          </w:tcPr>
          <w:p>
            <w:pPr>
              <w:widowControl/>
              <w:ind w:firstLine="400" w:firstLineChars="20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2397" w:hRule="atLeast"/>
          <w:jc w:val="center"/>
        </w:trPr>
        <w:tc>
          <w:tcPr>
            <w:tcW w:w="569" w:type="dxa"/>
            <w:vMerge w:val="restart"/>
            <w:tcBorders>
              <w:top w:val="nil"/>
              <w:left w:val="single" w:color="auto" w:sz="4" w:space="0"/>
              <w:bottom w:val="single" w:color="auto" w:sz="4" w:space="0"/>
              <w:right w:val="single" w:color="auto" w:sz="4" w:space="0"/>
            </w:tcBorders>
            <w:vAlign w:val="center"/>
          </w:tcPr>
          <w:p>
            <w:pPr>
              <w:widowControl/>
              <w:ind w:left="113" w:right="113"/>
              <w:jc w:val="center"/>
              <w:rPr>
                <w:rFonts w:ascii="宋体" w:hAnsi="宋体"/>
                <w:sz w:val="20"/>
                <w:szCs w:val="20"/>
              </w:rPr>
            </w:pPr>
            <w:r>
              <w:rPr>
                <w:rFonts w:hint="eastAsia" w:ascii="宋体" w:hAnsi="宋体"/>
                <w:sz w:val="20"/>
                <w:szCs w:val="20"/>
              </w:rPr>
              <w:t>听            证</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w:t>
            </w:r>
          </w:p>
        </w:tc>
        <w:tc>
          <w:tcPr>
            <w:tcW w:w="3802"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特别事项行政许可的听证。法律、法规、规章规定实施行政许可应当听证的事项，或者行政机关认为需要听证的其他涉及公共利益的重大行政许可事项，行政机关应当向社会公告。</w:t>
            </w:r>
          </w:p>
          <w:p>
            <w:pPr>
              <w:widowControl/>
              <w:ind w:firstLine="400" w:firstLineChars="200"/>
              <w:rPr>
                <w:rFonts w:ascii="宋体" w:hAnsi="宋体"/>
                <w:sz w:val="20"/>
                <w:szCs w:val="20"/>
              </w:rPr>
            </w:pPr>
            <w:r>
              <w:rPr>
                <w:rFonts w:hint="eastAsia" w:ascii="宋体" w:hAnsi="宋体"/>
                <w:sz w:val="20"/>
                <w:szCs w:val="20"/>
              </w:rPr>
              <w:t>行政机关应当于举行听证的七日前将举行听证的时间、地点通知申请人、利害关系人，必要时予以公告。</w:t>
            </w:r>
          </w:p>
        </w:tc>
        <w:tc>
          <w:tcPr>
            <w:tcW w:w="3360"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查举行行政许可听证通知书或行政许可听证公告。未按法定期限通知的扣3分。未进行公告的扣5分。</w:t>
            </w:r>
          </w:p>
        </w:tc>
        <w:tc>
          <w:tcPr>
            <w:tcW w:w="715" w:type="dxa"/>
            <w:tcBorders>
              <w:top w:val="single" w:color="auto" w:sz="4" w:space="0"/>
              <w:left w:val="nil"/>
              <w:bottom w:val="single" w:color="auto" w:sz="4" w:space="0"/>
              <w:right w:val="single" w:color="auto" w:sz="4" w:space="0"/>
            </w:tcBorders>
            <w:vAlign w:val="center"/>
          </w:tcPr>
          <w:p>
            <w:pPr>
              <w:widowControl/>
              <w:ind w:firstLine="400" w:firstLineChars="20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2167" w:hRule="atLeast"/>
          <w:jc w:val="center"/>
        </w:trPr>
        <w:tc>
          <w:tcPr>
            <w:tcW w:w="5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2</w:t>
            </w:r>
          </w:p>
        </w:tc>
        <w:tc>
          <w:tcPr>
            <w:tcW w:w="3802"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涉他行政许可事项的听证。行政许可直接涉及申请人与他人之间重大利益关系的，行政机关在做出行政许可决定前，应当告知申请人、利害关系人享有要求听证的权利；申请人、利害关系人在被告知听证权利之日起五日内提出听证申请的，行政机关应当在二十日内组织听证。</w:t>
            </w:r>
          </w:p>
        </w:tc>
        <w:tc>
          <w:tcPr>
            <w:tcW w:w="3360"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查行政许可听证告知书和行政许可听证笔录。未书面告知申请人、利害关系人听证权利的扣5分。未在法定期限内组织听证的扣5分。</w:t>
            </w:r>
          </w:p>
        </w:tc>
        <w:tc>
          <w:tcPr>
            <w:tcW w:w="715" w:type="dxa"/>
            <w:tcBorders>
              <w:top w:val="single" w:color="auto" w:sz="4" w:space="0"/>
              <w:left w:val="nil"/>
              <w:bottom w:val="single" w:color="auto" w:sz="4" w:space="0"/>
              <w:right w:val="single" w:color="auto" w:sz="4" w:space="0"/>
            </w:tcBorders>
            <w:vAlign w:val="center"/>
          </w:tcPr>
          <w:p>
            <w:pPr>
              <w:widowControl/>
              <w:ind w:firstLine="400" w:firstLineChars="20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2411"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sz w:val="20"/>
                <w:szCs w:val="20"/>
              </w:rPr>
            </w:pPr>
            <w:r>
              <w:rPr>
                <w:rFonts w:hint="eastAsia" w:ascii="宋体" w:hAnsi="宋体"/>
                <w:sz w:val="20"/>
                <w:szCs w:val="20"/>
              </w:rPr>
              <w:t>听</w:t>
            </w:r>
          </w:p>
          <w:p>
            <w:pPr>
              <w:widowControl/>
              <w:spacing w:line="240" w:lineRule="exact"/>
              <w:jc w:val="center"/>
              <w:rPr>
                <w:rFonts w:ascii="宋体" w:hAnsi="宋体"/>
                <w:sz w:val="20"/>
                <w:szCs w:val="20"/>
              </w:rPr>
            </w:pPr>
            <w:r>
              <w:rPr>
                <w:rFonts w:hint="eastAsia" w:ascii="宋体" w:hAnsi="宋体"/>
                <w:sz w:val="20"/>
                <w:szCs w:val="20"/>
              </w:rPr>
              <w:t xml:space="preserve">                    证</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3</w:t>
            </w:r>
          </w:p>
        </w:tc>
        <w:tc>
          <w:tcPr>
            <w:tcW w:w="3802"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听证的实施。行政机关应当指定审查该行政许可申请的工作人员以外的人员为听证主持人。</w:t>
            </w:r>
          </w:p>
          <w:p>
            <w:pPr>
              <w:widowControl/>
              <w:spacing w:line="280" w:lineRule="exact"/>
              <w:ind w:firstLine="400" w:firstLineChars="200"/>
              <w:rPr>
                <w:rFonts w:ascii="宋体" w:hAnsi="宋体"/>
                <w:sz w:val="20"/>
                <w:szCs w:val="20"/>
              </w:rPr>
            </w:pPr>
            <w:r>
              <w:rPr>
                <w:rFonts w:hint="eastAsia" w:ascii="宋体" w:hAnsi="宋体"/>
                <w:sz w:val="20"/>
                <w:szCs w:val="20"/>
              </w:rPr>
              <w:t>举行听证时，审查该行政许可申请的工作人员应当提供审查意见的证据、理由。</w:t>
            </w:r>
          </w:p>
          <w:p>
            <w:pPr>
              <w:widowControl/>
              <w:spacing w:line="280" w:lineRule="exact"/>
              <w:ind w:firstLine="400" w:firstLineChars="200"/>
              <w:rPr>
                <w:rFonts w:ascii="宋体" w:hAnsi="宋体"/>
                <w:sz w:val="20"/>
                <w:szCs w:val="20"/>
              </w:rPr>
            </w:pPr>
            <w:r>
              <w:rPr>
                <w:rFonts w:hint="eastAsia" w:ascii="宋体" w:hAnsi="宋体"/>
                <w:sz w:val="20"/>
                <w:szCs w:val="20"/>
              </w:rPr>
              <w:t>听证应当制作笔录，听证笔录应当交听证参加人确认无误后签字或盖章。</w:t>
            </w:r>
          </w:p>
        </w:tc>
        <w:tc>
          <w:tcPr>
            <w:tcW w:w="3360"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查行政许可听证笔录。未按规定指定听证主持人的扣5分。</w:t>
            </w:r>
          </w:p>
          <w:p>
            <w:pPr>
              <w:widowControl/>
              <w:spacing w:line="280" w:lineRule="exact"/>
              <w:ind w:firstLine="400" w:firstLineChars="200"/>
              <w:rPr>
                <w:rFonts w:ascii="宋体" w:hAnsi="宋体"/>
                <w:sz w:val="20"/>
                <w:szCs w:val="20"/>
              </w:rPr>
            </w:pPr>
            <w:r>
              <w:rPr>
                <w:rFonts w:hint="eastAsia" w:ascii="宋体" w:hAnsi="宋体"/>
                <w:sz w:val="20"/>
                <w:szCs w:val="20"/>
              </w:rPr>
              <w:t>查行政许可听证笔录。未提供审查意见的证据、理由的扣4分。</w:t>
            </w:r>
          </w:p>
          <w:p>
            <w:pPr>
              <w:widowControl/>
              <w:spacing w:line="280" w:lineRule="exact"/>
              <w:ind w:firstLine="400" w:firstLineChars="200"/>
              <w:rPr>
                <w:rFonts w:ascii="宋体" w:hAnsi="宋体"/>
                <w:sz w:val="20"/>
                <w:szCs w:val="20"/>
              </w:rPr>
            </w:pPr>
            <w:r>
              <w:rPr>
                <w:rFonts w:hint="eastAsia" w:ascii="宋体" w:hAnsi="宋体"/>
                <w:sz w:val="20"/>
                <w:szCs w:val="20"/>
              </w:rPr>
              <w:t>查行政许可听证笔录。听证笔录书写不规范或无听证参加人员签字或盖章的扣5分。</w:t>
            </w:r>
          </w:p>
        </w:tc>
        <w:tc>
          <w:tcPr>
            <w:tcW w:w="715" w:type="dxa"/>
            <w:tcBorders>
              <w:top w:val="single" w:color="auto" w:sz="4" w:space="0"/>
              <w:left w:val="nil"/>
              <w:bottom w:val="single" w:color="auto" w:sz="4" w:space="0"/>
              <w:right w:val="single" w:color="auto" w:sz="4" w:space="0"/>
            </w:tcBorders>
            <w:vAlign w:val="center"/>
          </w:tcPr>
          <w:p>
            <w:pPr>
              <w:widowControl/>
              <w:ind w:firstLine="400" w:firstLineChars="20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1022" w:hRule="atLeast"/>
          <w:jc w:val="center"/>
        </w:trPr>
        <w:tc>
          <w:tcPr>
            <w:tcW w:w="5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sz w:val="20"/>
                <w:szCs w:val="20"/>
              </w:rPr>
            </w:pPr>
            <w:r>
              <w:rPr>
                <w:rFonts w:hint="eastAsia" w:ascii="宋体" w:hAnsi="宋体"/>
                <w:sz w:val="20"/>
                <w:szCs w:val="20"/>
              </w:rPr>
              <w:t>变  更  与  延  续</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w:t>
            </w:r>
          </w:p>
        </w:tc>
        <w:tc>
          <w:tcPr>
            <w:tcW w:w="3802"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行政许可事项的变更。被许可人要求变更行政许可事项，符合法定条件、标准的，行政机关应当依法办理变更手续。</w:t>
            </w:r>
          </w:p>
        </w:tc>
        <w:tc>
          <w:tcPr>
            <w:tcW w:w="3360"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查行政许可变更决定书。未依法变更的扣5分。</w:t>
            </w:r>
          </w:p>
        </w:tc>
        <w:tc>
          <w:tcPr>
            <w:tcW w:w="715" w:type="dxa"/>
            <w:tcBorders>
              <w:top w:val="single" w:color="auto" w:sz="4" w:space="0"/>
              <w:left w:val="nil"/>
              <w:bottom w:val="single" w:color="auto" w:sz="4" w:space="0"/>
              <w:right w:val="single" w:color="auto" w:sz="4" w:space="0"/>
            </w:tcBorders>
            <w:vAlign w:val="center"/>
          </w:tcPr>
          <w:p>
            <w:pPr>
              <w:widowControl/>
              <w:ind w:firstLine="400" w:firstLineChars="20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1540" w:hRule="atLeast"/>
          <w:jc w:val="center"/>
        </w:trPr>
        <w:tc>
          <w:tcPr>
            <w:tcW w:w="5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2</w:t>
            </w:r>
          </w:p>
        </w:tc>
        <w:tc>
          <w:tcPr>
            <w:tcW w:w="3802"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行政许可事项的变更。被许可人申请延续依法取得的行政许可的有效期的，行政机关应当根据被许可人的申请，在该行政许可有效期届满前作出是否准予延续的决定。</w:t>
            </w:r>
          </w:p>
        </w:tc>
        <w:tc>
          <w:tcPr>
            <w:tcW w:w="3360"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查行政许可是否准予延续的决定。未在行政许可有效期届满前作出的扣5分。</w:t>
            </w:r>
          </w:p>
        </w:tc>
        <w:tc>
          <w:tcPr>
            <w:tcW w:w="715" w:type="dxa"/>
            <w:tcBorders>
              <w:top w:val="single" w:color="auto" w:sz="4" w:space="0"/>
              <w:left w:val="nil"/>
              <w:bottom w:val="single" w:color="auto" w:sz="4" w:space="0"/>
              <w:right w:val="single" w:color="auto" w:sz="4" w:space="0"/>
            </w:tcBorders>
            <w:vAlign w:val="center"/>
          </w:tcPr>
          <w:p>
            <w:pPr>
              <w:widowControl/>
              <w:ind w:firstLine="400" w:firstLineChars="20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589" w:hRule="atLeast"/>
          <w:jc w:val="center"/>
        </w:trPr>
        <w:tc>
          <w:tcPr>
            <w:tcW w:w="5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sz w:val="20"/>
                <w:szCs w:val="20"/>
              </w:rPr>
            </w:pPr>
            <w:r>
              <w:rPr>
                <w:rFonts w:hint="eastAsia" w:ascii="宋体" w:hAnsi="宋体"/>
                <w:sz w:val="20"/>
                <w:szCs w:val="20"/>
              </w:rPr>
              <w:t>卷  宗  档  案</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w:t>
            </w:r>
          </w:p>
        </w:tc>
        <w:tc>
          <w:tcPr>
            <w:tcW w:w="3802"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使用统一规范的卷皮。</w:t>
            </w:r>
          </w:p>
        </w:tc>
        <w:tc>
          <w:tcPr>
            <w:tcW w:w="3360"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未使用统一规范卷皮的扣1分。</w:t>
            </w:r>
          </w:p>
        </w:tc>
        <w:tc>
          <w:tcPr>
            <w:tcW w:w="715" w:type="dxa"/>
            <w:tcBorders>
              <w:top w:val="single" w:color="auto" w:sz="4" w:space="0"/>
              <w:left w:val="nil"/>
              <w:bottom w:val="single" w:color="auto" w:sz="4" w:space="0"/>
              <w:right w:val="single" w:color="auto" w:sz="4" w:space="0"/>
            </w:tcBorders>
            <w:vAlign w:val="center"/>
          </w:tcPr>
          <w:p>
            <w:pPr>
              <w:widowControl/>
              <w:ind w:firstLine="400" w:firstLineChars="20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541" w:hRule="atLeast"/>
          <w:jc w:val="center"/>
        </w:trPr>
        <w:tc>
          <w:tcPr>
            <w:tcW w:w="5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2</w:t>
            </w:r>
          </w:p>
        </w:tc>
        <w:tc>
          <w:tcPr>
            <w:tcW w:w="3802"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卷内目录填写规范。</w:t>
            </w:r>
          </w:p>
        </w:tc>
        <w:tc>
          <w:tcPr>
            <w:tcW w:w="3360"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卷内目录填写不规范的扣1分。</w:t>
            </w:r>
          </w:p>
        </w:tc>
        <w:tc>
          <w:tcPr>
            <w:tcW w:w="715" w:type="dxa"/>
            <w:tcBorders>
              <w:top w:val="single" w:color="auto" w:sz="4" w:space="0"/>
              <w:left w:val="nil"/>
              <w:bottom w:val="single" w:color="auto" w:sz="4" w:space="0"/>
              <w:right w:val="single" w:color="auto" w:sz="4" w:space="0"/>
            </w:tcBorders>
            <w:vAlign w:val="center"/>
          </w:tcPr>
          <w:p>
            <w:pPr>
              <w:widowControl/>
              <w:ind w:firstLine="400" w:firstLineChars="20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738" w:hRule="atLeast"/>
          <w:jc w:val="center"/>
        </w:trPr>
        <w:tc>
          <w:tcPr>
            <w:tcW w:w="5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3</w:t>
            </w:r>
          </w:p>
        </w:tc>
        <w:tc>
          <w:tcPr>
            <w:tcW w:w="3802"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卷内材料排列按执法文书目录顺序排列。</w:t>
            </w:r>
          </w:p>
        </w:tc>
        <w:tc>
          <w:tcPr>
            <w:tcW w:w="3360"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卷内材料排列未按执法文书目录顺序排列的扣1分。</w:t>
            </w:r>
          </w:p>
        </w:tc>
        <w:tc>
          <w:tcPr>
            <w:tcW w:w="715" w:type="dxa"/>
            <w:tcBorders>
              <w:top w:val="single" w:color="auto" w:sz="4" w:space="0"/>
              <w:left w:val="nil"/>
              <w:bottom w:val="single" w:color="auto" w:sz="4" w:space="0"/>
              <w:right w:val="single" w:color="auto" w:sz="4" w:space="0"/>
            </w:tcBorders>
            <w:vAlign w:val="center"/>
          </w:tcPr>
          <w:p>
            <w:pPr>
              <w:widowControl/>
              <w:ind w:firstLine="400" w:firstLineChars="20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645" w:hRule="atLeast"/>
          <w:jc w:val="center"/>
        </w:trPr>
        <w:tc>
          <w:tcPr>
            <w:tcW w:w="5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4</w:t>
            </w:r>
          </w:p>
        </w:tc>
        <w:tc>
          <w:tcPr>
            <w:tcW w:w="3802"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卷内材料有页码编号。</w:t>
            </w:r>
          </w:p>
        </w:tc>
        <w:tc>
          <w:tcPr>
            <w:tcW w:w="3360"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卷内材料无页码编号的扣1分。</w:t>
            </w:r>
          </w:p>
        </w:tc>
        <w:tc>
          <w:tcPr>
            <w:tcW w:w="715" w:type="dxa"/>
            <w:tcBorders>
              <w:top w:val="single" w:color="auto" w:sz="4" w:space="0"/>
              <w:left w:val="nil"/>
              <w:bottom w:val="single" w:color="auto" w:sz="4" w:space="0"/>
              <w:right w:val="single" w:color="auto" w:sz="4" w:space="0"/>
            </w:tcBorders>
            <w:vAlign w:val="center"/>
          </w:tcPr>
          <w:p>
            <w:pPr>
              <w:widowControl/>
              <w:ind w:firstLine="400" w:firstLineChars="20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jc w:val="center"/>
        </w:trPr>
        <w:tc>
          <w:tcPr>
            <w:tcW w:w="5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5</w:t>
            </w:r>
          </w:p>
        </w:tc>
        <w:tc>
          <w:tcPr>
            <w:tcW w:w="3802"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装订整齐。</w:t>
            </w:r>
          </w:p>
        </w:tc>
        <w:tc>
          <w:tcPr>
            <w:tcW w:w="3360"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装订不整齐的扣1分。</w:t>
            </w:r>
          </w:p>
        </w:tc>
        <w:tc>
          <w:tcPr>
            <w:tcW w:w="715" w:type="dxa"/>
            <w:tcBorders>
              <w:top w:val="single" w:color="auto" w:sz="4" w:space="0"/>
              <w:left w:val="nil"/>
              <w:bottom w:val="single" w:color="auto" w:sz="4" w:space="0"/>
              <w:right w:val="single" w:color="auto" w:sz="4" w:space="0"/>
            </w:tcBorders>
            <w:vAlign w:val="center"/>
          </w:tcPr>
          <w:p>
            <w:pPr>
              <w:widowControl/>
              <w:ind w:firstLine="400" w:firstLineChars="200"/>
              <w:jc w:val="center"/>
              <w:rPr>
                <w:rFonts w:ascii="宋体" w:hAnsi="宋体"/>
                <w:sz w:val="20"/>
                <w:szCs w:val="20"/>
              </w:rPr>
            </w:pPr>
          </w:p>
          <w:p>
            <w:pPr>
              <w:widowControl/>
              <w:ind w:firstLine="400" w:firstLineChars="20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jc w:val="center"/>
        </w:trPr>
        <w:tc>
          <w:tcPr>
            <w:tcW w:w="5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6</w:t>
            </w:r>
          </w:p>
        </w:tc>
        <w:tc>
          <w:tcPr>
            <w:tcW w:w="3802"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纸张无破损。</w:t>
            </w:r>
          </w:p>
        </w:tc>
        <w:tc>
          <w:tcPr>
            <w:tcW w:w="3360"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纸张有破损扣1分。</w:t>
            </w:r>
          </w:p>
        </w:tc>
        <w:tc>
          <w:tcPr>
            <w:tcW w:w="715" w:type="dxa"/>
            <w:tcBorders>
              <w:top w:val="single" w:color="auto" w:sz="4" w:space="0"/>
              <w:left w:val="nil"/>
              <w:bottom w:val="single" w:color="auto" w:sz="4" w:space="0"/>
              <w:right w:val="single" w:color="auto" w:sz="4" w:space="0"/>
            </w:tcBorders>
            <w:vAlign w:val="center"/>
          </w:tcPr>
          <w:p>
            <w:pPr>
              <w:widowControl/>
              <w:ind w:firstLine="400" w:firstLineChars="200"/>
              <w:jc w:val="center"/>
              <w:rPr>
                <w:rFonts w:ascii="宋体" w:hAnsi="宋体"/>
                <w:sz w:val="20"/>
                <w:szCs w:val="20"/>
              </w:rPr>
            </w:pPr>
          </w:p>
          <w:p>
            <w:pPr>
              <w:widowControl/>
              <w:ind w:firstLine="400" w:firstLineChars="20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886" w:hRule="atLeast"/>
          <w:jc w:val="center"/>
        </w:trPr>
        <w:tc>
          <w:tcPr>
            <w:tcW w:w="5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7</w:t>
            </w:r>
          </w:p>
        </w:tc>
        <w:tc>
          <w:tcPr>
            <w:tcW w:w="3802"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卷内文字应当使用蓝黑色、黑色钢笔或签字笔，当事人提供的材料使用圆珠笔的，入卷应予复印。</w:t>
            </w:r>
          </w:p>
        </w:tc>
        <w:tc>
          <w:tcPr>
            <w:tcW w:w="3360" w:type="dxa"/>
            <w:tcBorders>
              <w:top w:val="single" w:color="auto" w:sz="4" w:space="0"/>
              <w:left w:val="nil"/>
              <w:bottom w:val="single" w:color="auto" w:sz="4" w:space="0"/>
              <w:right w:val="single" w:color="auto" w:sz="4" w:space="0"/>
            </w:tcBorders>
            <w:vAlign w:val="center"/>
          </w:tcPr>
          <w:p>
            <w:pPr>
              <w:widowControl/>
              <w:spacing w:line="280" w:lineRule="exact"/>
              <w:ind w:firstLine="400" w:firstLineChars="200"/>
              <w:rPr>
                <w:rFonts w:ascii="宋体" w:hAnsi="宋体"/>
                <w:sz w:val="20"/>
                <w:szCs w:val="20"/>
              </w:rPr>
            </w:pPr>
            <w:r>
              <w:rPr>
                <w:rFonts w:hint="eastAsia" w:ascii="宋体" w:hAnsi="宋体"/>
                <w:sz w:val="20"/>
                <w:szCs w:val="20"/>
              </w:rPr>
              <w:t>卷内文字未使用蓝黑色、黑色钢笔或签字笔，当事人提供的材料使用圆珠笔的，入卷未予复印的扣2分。</w:t>
            </w:r>
          </w:p>
        </w:tc>
        <w:tc>
          <w:tcPr>
            <w:tcW w:w="715" w:type="dxa"/>
            <w:tcBorders>
              <w:top w:val="single" w:color="auto" w:sz="4" w:space="0"/>
              <w:left w:val="nil"/>
              <w:bottom w:val="single" w:color="auto" w:sz="4" w:space="0"/>
              <w:right w:val="single" w:color="auto" w:sz="4" w:space="0"/>
            </w:tcBorders>
            <w:vAlign w:val="center"/>
          </w:tcPr>
          <w:p>
            <w:pPr>
              <w:widowControl/>
              <w:ind w:firstLine="400" w:firstLineChars="20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2175" w:hRule="atLeast"/>
          <w:jc w:val="center"/>
        </w:trPr>
        <w:tc>
          <w:tcPr>
            <w:tcW w:w="5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sz w:val="20"/>
                <w:szCs w:val="20"/>
              </w:rPr>
            </w:pPr>
            <w:r>
              <w:rPr>
                <w:rFonts w:hint="eastAsia" w:ascii="宋体" w:hAnsi="宋体"/>
                <w:sz w:val="20"/>
                <w:szCs w:val="20"/>
              </w:rPr>
              <w:t>备   注</w:t>
            </w:r>
          </w:p>
        </w:tc>
        <w:tc>
          <w:tcPr>
            <w:tcW w:w="7729" w:type="dxa"/>
            <w:gridSpan w:val="3"/>
            <w:tcBorders>
              <w:top w:val="nil"/>
              <w:left w:val="nil"/>
              <w:bottom w:val="single" w:color="auto" w:sz="4" w:space="0"/>
              <w:right w:val="single" w:color="auto" w:sz="4" w:space="0"/>
            </w:tcBorders>
            <w:vAlign w:val="center"/>
          </w:tcPr>
          <w:p>
            <w:pPr>
              <w:widowControl/>
              <w:spacing w:line="280" w:lineRule="exact"/>
              <w:ind w:left="357"/>
              <w:rPr>
                <w:rFonts w:ascii="宋体" w:hAnsi="宋体"/>
                <w:sz w:val="20"/>
                <w:szCs w:val="20"/>
              </w:rPr>
            </w:pPr>
            <w:r>
              <w:rPr>
                <w:rFonts w:hint="eastAsia" w:ascii="宋体" w:hAnsi="宋体"/>
                <w:sz w:val="20"/>
                <w:szCs w:val="20"/>
              </w:rPr>
              <w:t>1.案卷评查满分为100分，90分以上为优秀，60-90分为合格，60分以下为不合格；</w:t>
            </w:r>
          </w:p>
          <w:p>
            <w:pPr>
              <w:widowControl/>
              <w:spacing w:line="280" w:lineRule="exact"/>
              <w:ind w:left="357"/>
              <w:rPr>
                <w:rFonts w:ascii="宋体" w:hAnsi="宋体"/>
                <w:sz w:val="20"/>
                <w:szCs w:val="20"/>
              </w:rPr>
            </w:pPr>
            <w:r>
              <w:rPr>
                <w:rFonts w:hint="eastAsia" w:ascii="宋体" w:hAnsi="宋体"/>
                <w:sz w:val="20"/>
                <w:szCs w:val="20"/>
              </w:rPr>
              <w:t>2.凡是应依照《行政许可法》第四章第六节特别规定实施行政许可而未依法实施的案卷以及经行政复议、行政诉讼未能维持的案件卷均为不合格的案卷；</w:t>
            </w:r>
          </w:p>
          <w:p>
            <w:pPr>
              <w:widowControl/>
              <w:spacing w:line="280" w:lineRule="exact"/>
              <w:ind w:left="357"/>
              <w:rPr>
                <w:rFonts w:ascii="宋体" w:hAnsi="宋体"/>
                <w:sz w:val="20"/>
                <w:szCs w:val="20"/>
              </w:rPr>
            </w:pPr>
            <w:r>
              <w:rPr>
                <w:rFonts w:hint="eastAsia" w:ascii="宋体" w:hAnsi="宋体"/>
                <w:sz w:val="20"/>
                <w:szCs w:val="20"/>
              </w:rPr>
              <w:t>3.国务院各有关部门对本系统实施行政许可程序及文书另有规定的，有关部门可以参照其规定执行。</w:t>
            </w:r>
          </w:p>
        </w:tc>
        <w:tc>
          <w:tcPr>
            <w:tcW w:w="715" w:type="dxa"/>
            <w:tcBorders>
              <w:top w:val="single" w:color="auto" w:sz="4" w:space="0"/>
              <w:left w:val="nil"/>
              <w:right w:val="single" w:color="auto" w:sz="4" w:space="0"/>
            </w:tcBorders>
            <w:tcMar>
              <w:top w:w="0" w:type="dxa"/>
              <w:left w:w="0" w:type="dxa"/>
              <w:bottom w:w="0" w:type="dxa"/>
              <w:right w:w="0" w:type="dxa"/>
            </w:tcMar>
            <w:vAlign w:val="center"/>
          </w:tcPr>
          <w:p>
            <w:pPr>
              <w:widowControl/>
              <w:jc w:val="center"/>
              <w:rPr>
                <w:rFonts w:ascii="宋体" w:hAnsi="宋体"/>
                <w:sz w:val="20"/>
                <w:szCs w:val="20"/>
              </w:rPr>
            </w:pPr>
            <w:r>
              <w:rPr>
                <w:rFonts w:hint="eastAsia" w:ascii="宋体" w:hAnsi="宋体"/>
                <w:sz w:val="20"/>
                <w:szCs w:val="20"/>
              </w:rPr>
              <w:t>总计分</w:t>
            </w:r>
          </w:p>
        </w:tc>
      </w:tr>
    </w:tbl>
    <w:p>
      <w:pPr>
        <w:rPr>
          <w:rFonts w:ascii="黑体" w:hAnsi="黑体" w:eastAsia="黑体" w:cs="Times New Roman"/>
        </w:rPr>
      </w:pPr>
      <w:r>
        <w:rPr>
          <w:rFonts w:eastAsia="仿宋_GB2312"/>
        </w:rPr>
        <w:br w:type="page"/>
      </w:r>
      <w:r>
        <w:rPr>
          <w:rFonts w:hint="eastAsia" w:ascii="黑体" w:hAnsi="黑体" w:eastAsia="黑体"/>
        </w:rPr>
        <w:t>附件4</w:t>
      </w:r>
    </w:p>
    <w:p>
      <w:pPr>
        <w:spacing w:line="700" w:lineRule="exact"/>
        <w:jc w:val="center"/>
        <w:rPr>
          <w:rFonts w:ascii="方正小标宋简体" w:hAnsi="Times New Roman" w:eastAsia="方正小标宋简体"/>
          <w:sz w:val="44"/>
          <w:szCs w:val="44"/>
        </w:rPr>
      </w:pPr>
      <w:r>
        <w:rPr>
          <w:rFonts w:hint="eastAsia" w:ascii="方正小标宋简体" w:eastAsia="方正小标宋简体"/>
          <w:sz w:val="44"/>
          <w:szCs w:val="44"/>
        </w:rPr>
        <w:t>鄂尔多斯市应急管理系统</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行政处罚案卷评查内容和标准</w:t>
      </w:r>
    </w:p>
    <w:tbl>
      <w:tblPr>
        <w:tblStyle w:val="3"/>
        <w:tblW w:w="9157" w:type="dxa"/>
        <w:jc w:val="center"/>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Layout w:type="fixed"/>
        <w:tblCellMar>
          <w:top w:w="0" w:type="dxa"/>
          <w:left w:w="108" w:type="dxa"/>
          <w:bottom w:w="0" w:type="dxa"/>
          <w:right w:w="108" w:type="dxa"/>
        </w:tblCellMar>
      </w:tblPr>
      <w:tblGrid>
        <w:gridCol w:w="567"/>
        <w:gridCol w:w="567"/>
        <w:gridCol w:w="567"/>
        <w:gridCol w:w="3487"/>
        <w:gridCol w:w="3260"/>
        <w:gridCol w:w="709"/>
      </w:tblGrid>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487" w:hRule="atLeast"/>
          <w:tblHeader/>
          <w:jc w:val="center"/>
        </w:trPr>
        <w:tc>
          <w:tcPr>
            <w:tcW w:w="5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rPr>
                <w:rFonts w:ascii="黑体" w:hAnsi="黑体" w:eastAsia="黑体"/>
                <w:sz w:val="20"/>
                <w:szCs w:val="20"/>
              </w:rPr>
            </w:pPr>
            <w:r>
              <w:rPr>
                <w:rFonts w:hint="eastAsia" w:ascii="黑体" w:hAnsi="黑体" w:eastAsia="黑体"/>
                <w:sz w:val="20"/>
                <w:szCs w:val="20"/>
              </w:rPr>
              <w:t>分类</w:t>
            </w:r>
          </w:p>
        </w:tc>
        <w:tc>
          <w:tcPr>
            <w:tcW w:w="56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widowControl/>
              <w:jc w:val="center"/>
              <w:rPr>
                <w:rFonts w:ascii="黑体" w:hAnsi="黑体" w:eastAsia="黑体"/>
                <w:b/>
                <w:sz w:val="20"/>
                <w:szCs w:val="20"/>
              </w:rPr>
            </w:pPr>
            <w:r>
              <w:rPr>
                <w:rFonts w:hint="eastAsia" w:ascii="黑体" w:hAnsi="黑体" w:eastAsia="黑体"/>
                <w:sz w:val="20"/>
                <w:szCs w:val="20"/>
              </w:rPr>
              <w:t>序号</w:t>
            </w:r>
          </w:p>
        </w:tc>
        <w:tc>
          <w:tcPr>
            <w:tcW w:w="56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widowControl/>
              <w:jc w:val="center"/>
              <w:rPr>
                <w:rFonts w:ascii="黑体" w:hAnsi="黑体" w:eastAsia="黑体"/>
                <w:sz w:val="20"/>
                <w:szCs w:val="20"/>
              </w:rPr>
            </w:pPr>
            <w:r>
              <w:rPr>
                <w:rFonts w:hint="eastAsia" w:ascii="黑体" w:hAnsi="黑体" w:eastAsia="黑体"/>
                <w:sz w:val="20"/>
                <w:szCs w:val="20"/>
              </w:rPr>
              <w:t>分值</w:t>
            </w:r>
          </w:p>
        </w:tc>
        <w:tc>
          <w:tcPr>
            <w:tcW w:w="3487"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widowControl/>
              <w:jc w:val="center"/>
              <w:rPr>
                <w:rFonts w:ascii="黑体" w:hAnsi="黑体" w:eastAsia="黑体"/>
                <w:b/>
                <w:sz w:val="20"/>
                <w:szCs w:val="20"/>
              </w:rPr>
            </w:pPr>
            <w:r>
              <w:rPr>
                <w:rFonts w:hint="eastAsia" w:ascii="黑体" w:hAnsi="黑体" w:eastAsia="黑体"/>
                <w:sz w:val="20"/>
                <w:szCs w:val="20"/>
              </w:rPr>
              <w:t>评查内容</w:t>
            </w:r>
          </w:p>
        </w:tc>
        <w:tc>
          <w:tcPr>
            <w:tcW w:w="3260"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widowControl/>
              <w:jc w:val="center"/>
              <w:rPr>
                <w:rFonts w:ascii="黑体" w:hAnsi="黑体" w:eastAsia="黑体"/>
                <w:b/>
                <w:sz w:val="20"/>
                <w:szCs w:val="20"/>
              </w:rPr>
            </w:pPr>
            <w:r>
              <w:rPr>
                <w:rFonts w:hint="eastAsia" w:ascii="黑体" w:hAnsi="黑体" w:eastAsia="黑体"/>
                <w:sz w:val="20"/>
                <w:szCs w:val="20"/>
              </w:rPr>
              <w:t>评分方法及标准</w:t>
            </w:r>
          </w:p>
        </w:tc>
        <w:tc>
          <w:tcPr>
            <w:tcW w:w="70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widowControl/>
              <w:jc w:val="center"/>
              <w:rPr>
                <w:rFonts w:ascii="黑体" w:hAnsi="黑体" w:eastAsia="黑体"/>
                <w:b/>
                <w:sz w:val="20"/>
                <w:szCs w:val="20"/>
              </w:rPr>
            </w:pPr>
            <w:r>
              <w:rPr>
                <w:rFonts w:hint="eastAsia" w:ascii="黑体" w:hAnsi="黑体" w:eastAsia="黑体"/>
                <w:sz w:val="20"/>
                <w:szCs w:val="20"/>
              </w:rPr>
              <w:t>扣分</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jc w:val="center"/>
        </w:trPr>
        <w:tc>
          <w:tcPr>
            <w:tcW w:w="56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bCs/>
                <w:sz w:val="20"/>
                <w:szCs w:val="20"/>
              </w:rPr>
            </w:pPr>
            <w:r>
              <w:rPr>
                <w:rFonts w:hint="eastAsia" w:ascii="宋体" w:hAnsi="宋体"/>
                <w:bCs/>
                <w:sz w:val="20"/>
                <w:szCs w:val="20"/>
              </w:rPr>
              <w:t>立    案</w:t>
            </w:r>
          </w:p>
          <w:p>
            <w:pPr>
              <w:widowControl/>
              <w:jc w:val="center"/>
              <w:rPr>
                <w:rFonts w:ascii="宋体" w:hAnsi="宋体"/>
                <w:bCs/>
                <w:sz w:val="20"/>
                <w:szCs w:val="20"/>
              </w:rPr>
            </w:pPr>
            <w:r>
              <w:rPr>
                <w:rFonts w:hint="eastAsia" w:ascii="宋体" w:hAnsi="宋体"/>
                <w:bCs/>
                <w:sz w:val="20"/>
                <w:szCs w:val="20"/>
              </w:rPr>
              <w:t>11分</w:t>
            </w:r>
          </w:p>
        </w:tc>
        <w:tc>
          <w:tcPr>
            <w:tcW w:w="567" w:type="dxa"/>
            <w:tcBorders>
              <w:top w:val="single" w:color="auto" w:sz="4" w:space="0"/>
              <w:left w:val="nil"/>
              <w:bottom w:val="single" w:color="auto" w:sz="4" w:space="0"/>
              <w:right w:val="single" w:color="auto" w:sz="4" w:space="0"/>
            </w:tcBorders>
            <w:vAlign w:val="center"/>
          </w:tcPr>
          <w:p>
            <w:pPr>
              <w:widowControl/>
              <w:ind w:firstLine="100" w:firstLineChars="50"/>
              <w:jc w:val="center"/>
              <w:rPr>
                <w:rFonts w:ascii="宋体" w:hAnsi="宋体"/>
                <w:sz w:val="20"/>
                <w:szCs w:val="20"/>
              </w:rPr>
            </w:pPr>
            <w:r>
              <w:rPr>
                <w:rFonts w:hint="eastAsia" w:ascii="宋体" w:hAnsi="宋体"/>
                <w:sz w:val="20"/>
                <w:szCs w:val="20"/>
              </w:rPr>
              <w:t>1</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w:t>
            </w:r>
          </w:p>
        </w:tc>
        <w:tc>
          <w:tcPr>
            <w:tcW w:w="3487"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案由清晰简明表述具体违法行为。</w:t>
            </w:r>
          </w:p>
        </w:tc>
        <w:tc>
          <w:tcPr>
            <w:tcW w:w="3260"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查立案审批表。案由书写不准确的扣1分。</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1224"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2</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w:t>
            </w:r>
          </w:p>
        </w:tc>
        <w:tc>
          <w:tcPr>
            <w:tcW w:w="3487"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当事人的基本情况。包括单位名称、法定代表人姓名、地址或个人姓名、地址、联系电话等。</w:t>
            </w:r>
          </w:p>
        </w:tc>
        <w:tc>
          <w:tcPr>
            <w:tcW w:w="3260"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查立案审批表。当事人基本情况漏写、书写错误的扣1分。</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12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3</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w:t>
            </w:r>
          </w:p>
        </w:tc>
        <w:tc>
          <w:tcPr>
            <w:tcW w:w="3487"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案件来源。应注明案件来源是现场检查、检验中发现或举报、交办、移送等。</w:t>
            </w:r>
          </w:p>
        </w:tc>
        <w:tc>
          <w:tcPr>
            <w:tcW w:w="3260"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查立案审批表。未注明案件来源的扣1分。</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4</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w:t>
            </w:r>
          </w:p>
        </w:tc>
        <w:tc>
          <w:tcPr>
            <w:tcW w:w="3487"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案情简介。</w:t>
            </w:r>
          </w:p>
        </w:tc>
        <w:tc>
          <w:tcPr>
            <w:tcW w:w="3260"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查立案审批表。无案情简介、案情简介表述不清楚的扣1分。</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1018"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5</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w:t>
            </w:r>
          </w:p>
        </w:tc>
        <w:tc>
          <w:tcPr>
            <w:tcW w:w="3487"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立案依据。应引用适用法律、法规、规章全称，并注明具体条、款、项等。</w:t>
            </w:r>
          </w:p>
        </w:tc>
        <w:tc>
          <w:tcPr>
            <w:tcW w:w="3260"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查立案审批表。未引用适用法律、法规、规章全称，并未注明条、款、项的扣1分。</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895"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6</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2</w:t>
            </w:r>
          </w:p>
        </w:tc>
        <w:tc>
          <w:tcPr>
            <w:tcW w:w="3487"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承办人、承办机构的意见及签名。</w:t>
            </w:r>
          </w:p>
        </w:tc>
        <w:tc>
          <w:tcPr>
            <w:tcW w:w="3260"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查立案审批表。无承办人或承办机构的意见及签名的各扣1分。</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7</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2</w:t>
            </w:r>
          </w:p>
        </w:tc>
        <w:tc>
          <w:tcPr>
            <w:tcW w:w="3487"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行政机关负责人审批意见及签名。</w:t>
            </w:r>
          </w:p>
        </w:tc>
        <w:tc>
          <w:tcPr>
            <w:tcW w:w="3260"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查立案审批表。无行政机关负责人审批意见及签名的扣2分。</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956"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8</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2</w:t>
            </w:r>
          </w:p>
        </w:tc>
        <w:tc>
          <w:tcPr>
            <w:tcW w:w="3487"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立案时间（以机关负责人审批签字日期为准）。</w:t>
            </w:r>
          </w:p>
        </w:tc>
        <w:tc>
          <w:tcPr>
            <w:tcW w:w="3260"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查立案审批表。无立案时间的扣2分。</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2761"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sz w:val="20"/>
                <w:szCs w:val="20"/>
              </w:rPr>
            </w:pPr>
            <w:r>
              <w:rPr>
                <w:rFonts w:hint="eastAsia" w:ascii="宋体" w:hAnsi="宋体"/>
                <w:bCs/>
                <w:sz w:val="20"/>
                <w:szCs w:val="20"/>
              </w:rPr>
              <w:t>调  查  取  证24分</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9</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4</w:t>
            </w:r>
          </w:p>
        </w:tc>
        <w:tc>
          <w:tcPr>
            <w:tcW w:w="3487"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案件调查（检查）规范。案件调查或检查时执法人员不得少于2人（适用简易程序实施行政处罚的除外，下同），并向当事人出示执法证件。案卷中有两名以上执法人员共同执法的文书记载或在卷内调查取证检查笔录文书中有两名以上执法人员的签名和执法证件编号。</w:t>
            </w:r>
          </w:p>
        </w:tc>
        <w:tc>
          <w:tcPr>
            <w:tcW w:w="3260"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查现场检查笔录和调查询问笔录。少于2名执法人员签名或没有登记执法证件编号的各扣2分。</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5454" w:hRule="atLeast"/>
          <w:jc w:val="center"/>
        </w:trPr>
        <w:tc>
          <w:tcPr>
            <w:tcW w:w="56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bCs/>
                <w:sz w:val="20"/>
                <w:szCs w:val="20"/>
              </w:rPr>
            </w:pPr>
            <w:r>
              <w:rPr>
                <w:rFonts w:hint="eastAsia" w:ascii="宋体" w:hAnsi="宋体"/>
                <w:bCs/>
                <w:sz w:val="20"/>
                <w:szCs w:val="20"/>
              </w:rPr>
              <w:t>调  查  取  证  24分</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10</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10</w:t>
            </w:r>
          </w:p>
        </w:tc>
        <w:tc>
          <w:tcPr>
            <w:tcW w:w="3487"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案件调查（检查）笔录规范。（1）有调查询问和现场检查的时间；（2）有调查询问和检查所在的具体地点；（3）有当事人或被询问人的基本情况；（4）有调查询问和检查笔录的完整内容。包括表明身份，说明执法依据，注明或询问违法事实与情节等；（5）有检查人员（调查人员）、记录人员签名；（6）笔录有被检查人或被调查人签名。如当事人拒绝签名应有两名以上执法人员在笔录上签名并说明情况；（7）调查笔录和检查笔录中涂改处，应有被调查人员或被检查人员按捺手印、盖章或签名。（8）如有多页时，被调查（检查）人员应按骑缝手印。</w:t>
            </w:r>
          </w:p>
        </w:tc>
        <w:tc>
          <w:tcPr>
            <w:tcW w:w="3260"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查现场检查笔录和调查询问笔录。每缺少一项或书写不规范的扣1分。扣完为止。</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11</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10</w:t>
            </w:r>
          </w:p>
        </w:tc>
        <w:tc>
          <w:tcPr>
            <w:tcW w:w="3487"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案件证据的调取与保存规范。（1）注明被取证的当事人有关事项；（2）有取证事由和依据；（3）有取证的具体时间、地点；（4）有物品性状的描述等；（5）有物品保存期限、保存条件和地点；（6）需先行登记保存或查封扣押的，应有领导审批记载；（7）对先行登记保存或查封扣押的物品应在法律法规规定的时间内做出处理决定；（8）有被取证的单位或个人签名或盖章；（9）有记载物品处理决定和处理</w:t>
            </w:r>
            <w:r>
              <w:rPr>
                <w:rFonts w:hint="eastAsia" w:ascii="宋体" w:hAnsi="宋体"/>
                <w:spacing w:val="-4"/>
                <w:sz w:val="20"/>
                <w:szCs w:val="20"/>
              </w:rPr>
              <w:t>结果的文书。（10）抽样取证物品，当事人拒绝签字的，应在抽样取证清单上注明。</w:t>
            </w:r>
          </w:p>
        </w:tc>
        <w:tc>
          <w:tcPr>
            <w:tcW w:w="3260"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查现场检查笔录和调查询问笔录。每缺少一项或书写不规范的扣1分。扣完为止。</w:t>
            </w:r>
          </w:p>
          <w:p>
            <w:pPr>
              <w:widowControl/>
              <w:ind w:firstLine="400" w:firstLineChars="200"/>
              <w:rPr>
                <w:rFonts w:ascii="宋体" w:hAnsi="宋体"/>
                <w:sz w:val="20"/>
                <w:szCs w:val="20"/>
              </w:rPr>
            </w:pPr>
          </w:p>
          <w:p>
            <w:pPr>
              <w:widowControl/>
              <w:ind w:firstLine="400" w:firstLineChars="200"/>
              <w:rPr>
                <w:rFonts w:ascii="宋体" w:hAnsi="宋体"/>
                <w:sz w:val="20"/>
                <w:szCs w:val="20"/>
              </w:rPr>
            </w:pPr>
          </w:p>
          <w:p>
            <w:pPr>
              <w:widowControl/>
              <w:ind w:firstLine="400" w:firstLineChars="200"/>
              <w:rPr>
                <w:rFonts w:ascii="宋体" w:hAnsi="宋体"/>
                <w:sz w:val="20"/>
                <w:szCs w:val="20"/>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77" w:hRule="atLeast"/>
          <w:jc w:val="center"/>
        </w:trPr>
        <w:tc>
          <w:tcPr>
            <w:tcW w:w="56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审  查  决  定</w:t>
            </w:r>
            <w:r>
              <w:rPr>
                <w:rFonts w:hint="eastAsia" w:ascii="宋体" w:hAnsi="宋体"/>
                <w:bCs/>
                <w:sz w:val="20"/>
                <w:szCs w:val="20"/>
              </w:rPr>
              <w:t>42分</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12</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8</w:t>
            </w:r>
          </w:p>
        </w:tc>
        <w:tc>
          <w:tcPr>
            <w:tcW w:w="3487"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告知规范。（1）行政处罚之前告知当事人违法事实、处罚理由和依据的记载；（2）行政处罚时，当事人陈述、申辩权利告知的记载；（3）行政处罚当事人陈述、申辩或放弃此项权利的记载；（4）告知文书行政机关的名称及印章。</w:t>
            </w:r>
          </w:p>
        </w:tc>
        <w:tc>
          <w:tcPr>
            <w:tcW w:w="3260"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查行政处罚先行告知书和陈述、申辩笔录。每缺少一项或书写不规范的扣2分。</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4036"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13</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10</w:t>
            </w:r>
          </w:p>
        </w:tc>
        <w:tc>
          <w:tcPr>
            <w:tcW w:w="3487"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听证规范。(1)适用听证程序规范。听证程序的适用条件：责令停业、吊销许可证或执照、较大数额罚款；（2）法律规定应当告知当事人听证权利的告知文书；（3）因当事人放弃听证权利而未举行听证的文字记载；（4）听证通知书的内容包括听证时间、地点、主持人、告知当事人申请回避权，行政机关名称及印章和通知时间等；（5）听证笔录制作规范。包括听证时间、地点、内容、主持人签名、记录人签名、当事人或代理人签名等。</w:t>
            </w:r>
          </w:p>
        </w:tc>
        <w:tc>
          <w:tcPr>
            <w:tcW w:w="3260"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符合法定要求未经该程序的不扣分。查是否符合听证条件,不符合要求的扣2分。查听证告知书，没有告知当事人有听证权利的扣2分；查听证通知书、听证笔录， 3、4、5项中每缺少一项或书写不规范的扣2分。扣完为止。</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2251" w:hRule="atLeast"/>
          <w:jc w:val="center"/>
        </w:trPr>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sz w:val="20"/>
                <w:szCs w:val="20"/>
              </w:rPr>
            </w:pPr>
            <w:r>
              <w:rPr>
                <w:rFonts w:hint="eastAsia" w:ascii="宋体" w:hAnsi="宋体"/>
                <w:sz w:val="20"/>
                <w:szCs w:val="20"/>
              </w:rPr>
              <w:t>审  查  决  定</w:t>
            </w:r>
            <w:r>
              <w:rPr>
                <w:rFonts w:hint="eastAsia" w:ascii="宋体" w:hAnsi="宋体"/>
                <w:bCs/>
                <w:sz w:val="20"/>
                <w:szCs w:val="20"/>
              </w:rPr>
              <w:t>42分</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14</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4</w:t>
            </w:r>
          </w:p>
        </w:tc>
        <w:tc>
          <w:tcPr>
            <w:tcW w:w="3487"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行政处罚决定的审批规范。（1）按行政处罚的法定批准权限进行审批；（2）集体讨论决定的行政处罚案件讨论记录，包括讨论时间、地点、主持人、记录人、讨论内容、讨论结果及参加人签名。</w:t>
            </w:r>
          </w:p>
        </w:tc>
        <w:tc>
          <w:tcPr>
            <w:tcW w:w="3260"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查行政处罚审批记录和案件讨论记录。未按行政处罚的法定批准权限进行审批的扣2分；讨论内容未记录或记录不全的扣2分。</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3672"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15</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20</w:t>
            </w:r>
          </w:p>
        </w:tc>
        <w:tc>
          <w:tcPr>
            <w:tcW w:w="3487"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行政处罚决定书规范。（1）当事人的姓名或名称、地址；（2）违反法律、法规或规章的事实；（3）行政处罚的种类和依据；（4）行政处罚的履行方式和期限；（5）救济途径的告知；（6）作出行政处罚决定的机关名称和作出决定的日期；（7）作出行政处罚决定的机关印章；（8）行政处罚内容有没收有关物品的，《行政处罚决定书》应附有《没收物品凭证》；（9）适用行政处罚自由裁量基准的依据。</w:t>
            </w:r>
          </w:p>
        </w:tc>
        <w:tc>
          <w:tcPr>
            <w:tcW w:w="3260"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查《行政处罚决定书》。1、2、3、4、5、6、7项中每缺少一项、书写不规范或8、9项中一项书写不规范的扣1分。认定违法事实不准确的扣3分；适用法律、法规不准确的扣5分；使用行政处罚自由裁量权不准确的扣3分。</w:t>
            </w:r>
          </w:p>
          <w:p>
            <w:pPr>
              <w:widowControl/>
              <w:ind w:firstLine="400" w:firstLineChars="200"/>
              <w:rPr>
                <w:rFonts w:ascii="宋体" w:hAnsi="宋体"/>
                <w:sz w:val="20"/>
                <w:szCs w:val="20"/>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1967" w:hRule="atLeast"/>
          <w:jc w:val="center"/>
        </w:trPr>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bCs/>
                <w:sz w:val="20"/>
                <w:szCs w:val="20"/>
              </w:rPr>
            </w:pPr>
            <w:r>
              <w:rPr>
                <w:rFonts w:hint="eastAsia" w:ascii="宋体" w:hAnsi="宋体"/>
                <w:sz w:val="20"/>
                <w:szCs w:val="20"/>
              </w:rPr>
              <w:t>送  达  和  执  行</w:t>
            </w:r>
          </w:p>
          <w:p>
            <w:pPr>
              <w:widowControl/>
              <w:spacing w:line="240" w:lineRule="exact"/>
              <w:jc w:val="center"/>
              <w:rPr>
                <w:rFonts w:ascii="宋体" w:hAnsi="宋体"/>
                <w:sz w:val="20"/>
                <w:szCs w:val="20"/>
              </w:rPr>
            </w:pPr>
            <w:r>
              <w:rPr>
                <w:rFonts w:hint="eastAsia" w:ascii="宋体" w:hAnsi="宋体"/>
                <w:bCs/>
                <w:sz w:val="20"/>
                <w:szCs w:val="20"/>
              </w:rPr>
              <w:t>15分</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16</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2</w:t>
            </w:r>
          </w:p>
        </w:tc>
        <w:tc>
          <w:tcPr>
            <w:tcW w:w="3487"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文书送达规范。直接送达的包括送达地点、时间、送达人、被送达人或见证人签名，其他方式（委托、留置、邮寄等）送达的应符合法定程序。</w:t>
            </w:r>
          </w:p>
        </w:tc>
        <w:tc>
          <w:tcPr>
            <w:tcW w:w="3260" w:type="dxa"/>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sz w:val="20"/>
                <w:szCs w:val="20"/>
              </w:rPr>
            </w:pPr>
            <w:r>
              <w:rPr>
                <w:rFonts w:hint="eastAsia" w:ascii="宋体" w:hAnsi="宋体"/>
                <w:sz w:val="20"/>
                <w:szCs w:val="20"/>
              </w:rPr>
              <w:t>查送达回证或回执。无送达文书、送达文书不规范的扣2分。</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2336"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r>
              <w:rPr>
                <w:rFonts w:hint="eastAsia" w:ascii="宋体" w:hAnsi="宋体"/>
                <w:sz w:val="20"/>
                <w:szCs w:val="20"/>
              </w:rPr>
              <w:t>17</w:t>
            </w: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r>
              <w:rPr>
                <w:rFonts w:hint="eastAsia" w:ascii="宋体" w:hAnsi="宋体"/>
                <w:sz w:val="20"/>
                <w:szCs w:val="20"/>
              </w:rPr>
              <w:t>11</w:t>
            </w:r>
          </w:p>
        </w:tc>
        <w:tc>
          <w:tcPr>
            <w:tcW w:w="3487"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罚款、没收财物票据的使用规范。给予罚款的行政处罚，应出具国家或自治区财政部门统一制发的罚款收据。没收财物的应有合法票据和物品清单。符合相关法律规定情形的，执法机关可以申请强制执行。</w:t>
            </w:r>
          </w:p>
        </w:tc>
        <w:tc>
          <w:tcPr>
            <w:tcW w:w="326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查处罚票据。无票据的扣3分。查没收财物票据和没收物品清单。无票据、清单的扣3分。相对人</w:t>
            </w:r>
            <w:r>
              <w:rPr>
                <w:rFonts w:hint="eastAsia" w:ascii="宋体" w:hAnsi="宋体"/>
                <w:sz w:val="20"/>
                <w:szCs w:val="20"/>
                <w:shd w:val="clear" w:color="auto" w:fill="FFFFFF"/>
              </w:rPr>
              <w:t>在法定期限内不申请行政复议或者提起行政诉讼，又不履行行政处罚决定的，</w:t>
            </w:r>
            <w:r>
              <w:rPr>
                <w:rFonts w:hint="eastAsia" w:ascii="宋体" w:hAnsi="宋体"/>
                <w:sz w:val="20"/>
                <w:szCs w:val="20"/>
              </w:rPr>
              <w:t>执法机关</w:t>
            </w:r>
            <w:r>
              <w:rPr>
                <w:rFonts w:hint="eastAsia" w:ascii="宋体" w:hAnsi="宋体"/>
                <w:sz w:val="20"/>
                <w:szCs w:val="20"/>
                <w:shd w:val="clear" w:color="auto" w:fill="FFFFFF"/>
              </w:rPr>
              <w:t>没有在期限届满之日起三个月内申请人民法院强制执行的</w:t>
            </w:r>
            <w:r>
              <w:rPr>
                <w:rFonts w:hint="eastAsia" w:ascii="宋体" w:hAnsi="宋体"/>
                <w:sz w:val="20"/>
                <w:szCs w:val="20"/>
              </w:rPr>
              <w:t>扣5分。</w:t>
            </w:r>
          </w:p>
        </w:tc>
        <w:tc>
          <w:tcPr>
            <w:tcW w:w="70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936"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r>
              <w:rPr>
                <w:rFonts w:hint="eastAsia" w:ascii="宋体" w:hAnsi="宋体"/>
                <w:sz w:val="20"/>
                <w:szCs w:val="20"/>
              </w:rPr>
              <w:t>18</w:t>
            </w: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r>
              <w:rPr>
                <w:rFonts w:hint="eastAsia" w:ascii="宋体" w:hAnsi="宋体"/>
                <w:sz w:val="20"/>
                <w:szCs w:val="20"/>
              </w:rPr>
              <w:t>2</w:t>
            </w:r>
          </w:p>
        </w:tc>
        <w:tc>
          <w:tcPr>
            <w:tcW w:w="3487"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结案报告规范。包括案件事实、处罚决定、执行情况、办案部门结案理由、行政执法机关负责人意见及签名等。</w:t>
            </w:r>
          </w:p>
        </w:tc>
        <w:tc>
          <w:tcPr>
            <w:tcW w:w="326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查结案报告表。无结案报告表、结案报告表书写不规范的扣2分。</w:t>
            </w:r>
          </w:p>
        </w:tc>
        <w:tc>
          <w:tcPr>
            <w:tcW w:w="70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710" w:hRule="atLeast"/>
          <w:jc w:val="center"/>
        </w:trPr>
        <w:tc>
          <w:tcPr>
            <w:tcW w:w="56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卷  宗  档  案</w:t>
            </w:r>
          </w:p>
          <w:p>
            <w:pPr>
              <w:widowControl/>
              <w:jc w:val="center"/>
              <w:rPr>
                <w:rFonts w:ascii="宋体" w:hAnsi="宋体"/>
                <w:bCs/>
                <w:sz w:val="20"/>
                <w:szCs w:val="20"/>
              </w:rPr>
            </w:pPr>
            <w:r>
              <w:rPr>
                <w:rFonts w:hint="eastAsia" w:ascii="宋体" w:hAnsi="宋体"/>
                <w:bCs/>
                <w:sz w:val="20"/>
                <w:szCs w:val="20"/>
              </w:rPr>
              <w:t>8</w:t>
            </w:r>
          </w:p>
          <w:p>
            <w:pPr>
              <w:widowControl/>
              <w:jc w:val="center"/>
              <w:rPr>
                <w:rFonts w:ascii="宋体" w:hAnsi="宋体"/>
                <w:sz w:val="20"/>
                <w:szCs w:val="20"/>
              </w:rPr>
            </w:pPr>
            <w:r>
              <w:rPr>
                <w:rFonts w:hint="eastAsia" w:ascii="宋体" w:hAnsi="宋体"/>
                <w:bCs/>
                <w:sz w:val="20"/>
                <w:szCs w:val="20"/>
              </w:rPr>
              <w:t>分</w:t>
            </w: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r>
              <w:rPr>
                <w:rFonts w:hint="eastAsia" w:ascii="宋体" w:hAnsi="宋体"/>
                <w:sz w:val="20"/>
                <w:szCs w:val="20"/>
              </w:rPr>
              <w:t>19</w:t>
            </w: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r>
              <w:rPr>
                <w:rFonts w:hint="eastAsia" w:ascii="宋体" w:hAnsi="宋体"/>
                <w:sz w:val="20"/>
                <w:szCs w:val="20"/>
              </w:rPr>
              <w:t>1</w:t>
            </w:r>
          </w:p>
        </w:tc>
        <w:tc>
          <w:tcPr>
            <w:tcW w:w="3487"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一案一卷。</w:t>
            </w:r>
          </w:p>
        </w:tc>
        <w:tc>
          <w:tcPr>
            <w:tcW w:w="326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查结案卷宗。未一案一卷的扣1分。</w:t>
            </w:r>
          </w:p>
        </w:tc>
        <w:tc>
          <w:tcPr>
            <w:tcW w:w="70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808"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r>
              <w:rPr>
                <w:rFonts w:hint="eastAsia" w:ascii="宋体" w:hAnsi="宋体"/>
                <w:sz w:val="20"/>
                <w:szCs w:val="20"/>
              </w:rPr>
              <w:t>20</w:t>
            </w: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r>
              <w:rPr>
                <w:rFonts w:hint="eastAsia" w:ascii="宋体" w:hAnsi="宋体"/>
                <w:sz w:val="20"/>
                <w:szCs w:val="20"/>
              </w:rPr>
              <w:t>1</w:t>
            </w:r>
          </w:p>
        </w:tc>
        <w:tc>
          <w:tcPr>
            <w:tcW w:w="3487"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使用统一规范的卷皮。卷皮封面上应写明机关名称、案件名称、案件编号等。</w:t>
            </w:r>
          </w:p>
        </w:tc>
        <w:tc>
          <w:tcPr>
            <w:tcW w:w="326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查结案卷宗。未按要求统一规范卷皮的扣1分。</w:t>
            </w:r>
          </w:p>
        </w:tc>
        <w:tc>
          <w:tcPr>
            <w:tcW w:w="70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r>
              <w:rPr>
                <w:rFonts w:hint="eastAsia" w:ascii="宋体" w:hAnsi="宋体"/>
                <w:sz w:val="20"/>
                <w:szCs w:val="20"/>
              </w:rPr>
              <w:t>21</w:t>
            </w: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r>
              <w:rPr>
                <w:rFonts w:hint="eastAsia" w:ascii="宋体" w:hAnsi="宋体"/>
                <w:sz w:val="20"/>
                <w:szCs w:val="20"/>
              </w:rPr>
              <w:t>1</w:t>
            </w:r>
          </w:p>
        </w:tc>
        <w:tc>
          <w:tcPr>
            <w:tcW w:w="3487"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文书时间顺序合理。</w:t>
            </w:r>
          </w:p>
        </w:tc>
        <w:tc>
          <w:tcPr>
            <w:tcW w:w="326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查结案卷宗。时间发生顺序不合理的扣1分。</w:t>
            </w:r>
          </w:p>
        </w:tc>
        <w:tc>
          <w:tcPr>
            <w:tcW w:w="70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r>
              <w:rPr>
                <w:rFonts w:hint="eastAsia" w:ascii="宋体" w:hAnsi="宋体"/>
                <w:sz w:val="20"/>
                <w:szCs w:val="20"/>
              </w:rPr>
              <w:t>22</w:t>
            </w: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r>
              <w:rPr>
                <w:rFonts w:hint="eastAsia" w:ascii="宋体" w:hAnsi="宋体"/>
                <w:sz w:val="20"/>
                <w:szCs w:val="20"/>
              </w:rPr>
              <w:t>1</w:t>
            </w:r>
          </w:p>
        </w:tc>
        <w:tc>
          <w:tcPr>
            <w:tcW w:w="3487"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卷内材料排列按执法文书目录顺序排列。</w:t>
            </w:r>
          </w:p>
        </w:tc>
        <w:tc>
          <w:tcPr>
            <w:tcW w:w="326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查结案卷宗。卷内材料排列未按执法文书目录顺序排列的扣1分。</w:t>
            </w:r>
          </w:p>
        </w:tc>
        <w:tc>
          <w:tcPr>
            <w:tcW w:w="70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1130" w:hRule="atLeast"/>
          <w:jc w:val="center"/>
        </w:trPr>
        <w:tc>
          <w:tcPr>
            <w:tcW w:w="56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卷  宗  档  案</w:t>
            </w:r>
          </w:p>
          <w:p>
            <w:pPr>
              <w:widowControl/>
              <w:jc w:val="center"/>
              <w:rPr>
                <w:rFonts w:ascii="宋体" w:hAnsi="宋体"/>
                <w:bCs/>
                <w:sz w:val="20"/>
                <w:szCs w:val="20"/>
              </w:rPr>
            </w:pPr>
            <w:r>
              <w:rPr>
                <w:rFonts w:hint="eastAsia" w:ascii="宋体" w:hAnsi="宋体"/>
                <w:bCs/>
                <w:sz w:val="20"/>
                <w:szCs w:val="20"/>
              </w:rPr>
              <w:t>8</w:t>
            </w:r>
          </w:p>
          <w:p>
            <w:pPr>
              <w:widowControl/>
              <w:jc w:val="center"/>
              <w:rPr>
                <w:rFonts w:ascii="宋体" w:hAnsi="宋体"/>
                <w:sz w:val="20"/>
                <w:szCs w:val="20"/>
              </w:rPr>
            </w:pPr>
            <w:r>
              <w:rPr>
                <w:rFonts w:hint="eastAsia" w:ascii="宋体" w:hAnsi="宋体"/>
                <w:bCs/>
                <w:sz w:val="20"/>
                <w:szCs w:val="20"/>
              </w:rPr>
              <w:t>分</w:t>
            </w: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r>
              <w:rPr>
                <w:rFonts w:hint="eastAsia" w:ascii="宋体" w:hAnsi="宋体"/>
                <w:sz w:val="20"/>
                <w:szCs w:val="20"/>
              </w:rPr>
              <w:t>23</w:t>
            </w: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r>
              <w:rPr>
                <w:rFonts w:hint="eastAsia" w:ascii="宋体" w:hAnsi="宋体"/>
                <w:sz w:val="20"/>
                <w:szCs w:val="20"/>
              </w:rPr>
              <w:t>1</w:t>
            </w:r>
          </w:p>
        </w:tc>
        <w:tc>
          <w:tcPr>
            <w:tcW w:w="3487"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卷内文书采用阿拉伯数字逐页编写页码，用页码机打印或用碳素笔编写，不得使用铅笔等易于擦涂字迹的笔具，正页在右下角，反页在左下角。</w:t>
            </w:r>
          </w:p>
        </w:tc>
        <w:tc>
          <w:tcPr>
            <w:tcW w:w="326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查结案卷宗。卷内材料页码编号不符合要求的扣1分。</w:t>
            </w:r>
          </w:p>
        </w:tc>
        <w:tc>
          <w:tcPr>
            <w:tcW w:w="70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r>
              <w:rPr>
                <w:rFonts w:hint="eastAsia" w:ascii="宋体" w:hAnsi="宋体"/>
                <w:sz w:val="20"/>
                <w:szCs w:val="20"/>
              </w:rPr>
              <w:t>24</w:t>
            </w: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r>
              <w:rPr>
                <w:rFonts w:hint="eastAsia" w:ascii="宋体" w:hAnsi="宋体"/>
                <w:sz w:val="20"/>
                <w:szCs w:val="20"/>
              </w:rPr>
              <w:t>1</w:t>
            </w:r>
          </w:p>
        </w:tc>
        <w:tc>
          <w:tcPr>
            <w:tcW w:w="3487"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装订整齐。</w:t>
            </w:r>
          </w:p>
        </w:tc>
        <w:tc>
          <w:tcPr>
            <w:tcW w:w="326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查结案卷宗。装订不整齐的扣1分。</w:t>
            </w:r>
          </w:p>
        </w:tc>
        <w:tc>
          <w:tcPr>
            <w:tcW w:w="70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r>
              <w:rPr>
                <w:rFonts w:hint="eastAsia" w:ascii="宋体" w:hAnsi="宋体"/>
                <w:sz w:val="20"/>
                <w:szCs w:val="20"/>
              </w:rPr>
              <w:t>25</w:t>
            </w: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r>
              <w:rPr>
                <w:rFonts w:hint="eastAsia" w:ascii="宋体" w:hAnsi="宋体"/>
                <w:sz w:val="20"/>
                <w:szCs w:val="20"/>
              </w:rPr>
              <w:t>1</w:t>
            </w:r>
          </w:p>
        </w:tc>
        <w:tc>
          <w:tcPr>
            <w:tcW w:w="3487"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装订纸张无破损。</w:t>
            </w:r>
          </w:p>
        </w:tc>
        <w:tc>
          <w:tcPr>
            <w:tcW w:w="326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查结案卷宗。纸张有破损、大小规格不统一的扣1分。</w:t>
            </w:r>
          </w:p>
        </w:tc>
        <w:tc>
          <w:tcPr>
            <w:tcW w:w="70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r>
              <w:rPr>
                <w:rFonts w:hint="eastAsia" w:ascii="宋体" w:hAnsi="宋体"/>
                <w:sz w:val="20"/>
                <w:szCs w:val="20"/>
              </w:rPr>
              <w:t>26</w:t>
            </w:r>
          </w:p>
        </w:tc>
        <w:tc>
          <w:tcPr>
            <w:tcW w:w="56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r>
              <w:rPr>
                <w:rFonts w:hint="eastAsia" w:ascii="宋体" w:hAnsi="宋体"/>
                <w:sz w:val="20"/>
                <w:szCs w:val="20"/>
              </w:rPr>
              <w:t>1</w:t>
            </w:r>
          </w:p>
        </w:tc>
        <w:tc>
          <w:tcPr>
            <w:tcW w:w="3487"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卷内文字应当使用蓝黑色、黑色钢笔或签字笔，当事人提供的材料使用圆珠笔的，入卷应予复印。</w:t>
            </w:r>
          </w:p>
        </w:tc>
        <w:tc>
          <w:tcPr>
            <w:tcW w:w="3260" w:type="dxa"/>
            <w:tcBorders>
              <w:top w:val="single" w:color="auto" w:sz="4" w:space="0"/>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查结案卷宗。卷内文字未使用蓝黑色、黑色钢笔或签字笔，当事人提供的材料使用圆珠笔的，入卷未予复印的扣1分。</w:t>
            </w:r>
          </w:p>
        </w:tc>
        <w:tc>
          <w:tcPr>
            <w:tcW w:w="70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1205" w:hRule="atLeast"/>
          <w:jc w:val="center"/>
        </w:trPr>
        <w:tc>
          <w:tcPr>
            <w:tcW w:w="567" w:type="dxa"/>
            <w:vMerge w:val="restart"/>
            <w:tcBorders>
              <w:top w:val="nil"/>
              <w:left w:val="single" w:color="auto" w:sz="4" w:space="0"/>
              <w:bottom w:val="single" w:color="auto" w:sz="4" w:space="0"/>
              <w:right w:val="single" w:color="auto" w:sz="4" w:space="0"/>
            </w:tcBorders>
            <w:vAlign w:val="center"/>
          </w:tcPr>
          <w:p>
            <w:pPr>
              <w:widowControl/>
              <w:ind w:left="113" w:right="113"/>
              <w:jc w:val="center"/>
              <w:rPr>
                <w:rFonts w:ascii="宋体" w:hAnsi="宋体"/>
                <w:sz w:val="20"/>
                <w:szCs w:val="20"/>
              </w:rPr>
            </w:pPr>
            <w:r>
              <w:rPr>
                <w:rFonts w:hint="eastAsia" w:ascii="宋体" w:hAnsi="宋体"/>
                <w:sz w:val="20"/>
                <w:szCs w:val="20"/>
              </w:rPr>
              <w:t>备    注</w:t>
            </w:r>
          </w:p>
        </w:tc>
        <w:tc>
          <w:tcPr>
            <w:tcW w:w="7881" w:type="dxa"/>
            <w:gridSpan w:val="4"/>
            <w:vMerge w:val="restart"/>
            <w:tcBorders>
              <w:top w:val="nil"/>
              <w:left w:val="nil"/>
              <w:bottom w:val="single" w:color="auto" w:sz="4" w:space="0"/>
              <w:right w:val="single" w:color="auto" w:sz="4" w:space="0"/>
            </w:tcBorders>
            <w:vAlign w:val="center"/>
          </w:tcPr>
          <w:p>
            <w:pPr>
              <w:widowControl/>
              <w:spacing w:line="260" w:lineRule="exact"/>
              <w:ind w:firstLine="400" w:firstLineChars="200"/>
              <w:rPr>
                <w:rFonts w:ascii="宋体" w:hAnsi="宋体"/>
                <w:sz w:val="20"/>
                <w:szCs w:val="20"/>
              </w:rPr>
            </w:pPr>
            <w:r>
              <w:rPr>
                <w:rFonts w:hint="eastAsia" w:ascii="宋体" w:hAnsi="宋体"/>
                <w:sz w:val="20"/>
                <w:szCs w:val="20"/>
              </w:rPr>
              <w:t>1.案卷评查满分为100分，90分（含）以上为优秀，60分（含）以上为合格，60分（不含）以下为不合格；</w:t>
            </w:r>
          </w:p>
          <w:p>
            <w:pPr>
              <w:widowControl/>
              <w:spacing w:line="260" w:lineRule="exact"/>
              <w:ind w:firstLine="400" w:firstLineChars="200"/>
              <w:rPr>
                <w:rFonts w:ascii="宋体" w:hAnsi="宋体"/>
                <w:sz w:val="20"/>
                <w:szCs w:val="20"/>
              </w:rPr>
            </w:pPr>
            <w:r>
              <w:rPr>
                <w:rFonts w:hint="eastAsia" w:ascii="宋体" w:hAnsi="宋体"/>
                <w:sz w:val="20"/>
                <w:szCs w:val="20"/>
              </w:rPr>
              <w:t>2.凡是经行政复议、行政诉讼未能维持的案件卷均为不合格案卷。</w:t>
            </w:r>
          </w:p>
          <w:p>
            <w:pPr>
              <w:widowControl/>
              <w:spacing w:line="260" w:lineRule="exact"/>
              <w:ind w:firstLine="400" w:firstLineChars="200"/>
              <w:rPr>
                <w:rFonts w:ascii="宋体" w:hAnsi="宋体"/>
                <w:sz w:val="20"/>
                <w:szCs w:val="20"/>
              </w:rPr>
            </w:pPr>
            <w:r>
              <w:rPr>
                <w:rFonts w:hint="eastAsia" w:ascii="宋体" w:hAnsi="宋体"/>
                <w:sz w:val="20"/>
                <w:szCs w:val="20"/>
              </w:rPr>
              <w:t>3.国务院各有关部门对本系统行政处罚程序及文书另有规定的，有关部门可以参照其规定执行。</w:t>
            </w:r>
          </w:p>
        </w:tc>
        <w:tc>
          <w:tcPr>
            <w:tcW w:w="70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widowControl/>
              <w:spacing w:line="260" w:lineRule="exact"/>
              <w:jc w:val="center"/>
              <w:rPr>
                <w:rFonts w:ascii="宋体" w:hAnsi="宋体"/>
                <w:sz w:val="20"/>
                <w:szCs w:val="20"/>
              </w:rPr>
            </w:pPr>
            <w:r>
              <w:rPr>
                <w:rFonts w:hint="eastAsia" w:ascii="宋体" w:hAnsi="宋体"/>
                <w:sz w:val="20"/>
                <w:szCs w:val="20"/>
              </w:rPr>
              <w:t>总计分</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cantSplit/>
          <w:trHeight w:val="1206"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7881" w:type="dxa"/>
            <w:gridSpan w:val="4"/>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rPr>
            </w:pPr>
          </w:p>
        </w:tc>
        <w:tc>
          <w:tcPr>
            <w:tcW w:w="709" w:type="dxa"/>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widowControl/>
              <w:jc w:val="center"/>
              <w:rPr>
                <w:rFonts w:ascii="宋体" w:hAnsi="宋体"/>
                <w:b/>
                <w:sz w:val="20"/>
                <w:szCs w:val="20"/>
              </w:rPr>
            </w:pPr>
          </w:p>
        </w:tc>
      </w:tr>
    </w:tbl>
    <w:p>
      <w:pPr>
        <w:rPr>
          <w:rFonts w:ascii="宋体" w:hAnsi="宋体" w:cs="Times New Roman"/>
          <w:b/>
          <w:sz w:val="21"/>
          <w:szCs w:val="21"/>
        </w:rPr>
      </w:pPr>
      <w:r>
        <w:rPr>
          <w:rFonts w:hint="eastAsia" w:ascii="宋体" w:hAnsi="宋体"/>
          <w:b/>
        </w:rPr>
        <w:t xml:space="preserve"> </w:t>
      </w:r>
    </w:p>
    <w:p>
      <w:pPr>
        <w:rPr>
          <w:rFonts w:ascii="宋体" w:hAnsi="宋体"/>
          <w:b/>
          <w:sz w:val="44"/>
          <w:szCs w:val="44"/>
        </w:rPr>
      </w:pPr>
      <w:r>
        <w:t xml:space="preserve"> </w:t>
      </w:r>
      <w:r>
        <w:rPr>
          <w:rFonts w:hint="eastAsia" w:ascii="黑体" w:hAnsi="黑体" w:eastAsia="黑体"/>
        </w:rPr>
        <w:t>附件5</w:t>
      </w:r>
    </w:p>
    <w:p>
      <w:pPr>
        <w:jc w:val="center"/>
        <w:rPr>
          <w:rFonts w:ascii="方正小标宋简体" w:hAnsi="Times New Roman" w:eastAsia="方正小标宋简体"/>
          <w:sz w:val="44"/>
          <w:szCs w:val="44"/>
        </w:rPr>
      </w:pPr>
      <w:r>
        <w:rPr>
          <w:rFonts w:hint="eastAsia" w:ascii="方正小标宋简体" w:eastAsia="方正小标宋简体"/>
          <w:sz w:val="44"/>
          <w:szCs w:val="44"/>
        </w:rPr>
        <w:t>案卷评查意见反馈表</w:t>
      </w:r>
    </w:p>
    <w:tbl>
      <w:tblPr>
        <w:tblStyle w:val="3"/>
        <w:tblW w:w="0" w:type="auto"/>
        <w:jc w:val="center"/>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Layout w:type="fixed"/>
        <w:tblCellMar>
          <w:top w:w="0" w:type="dxa"/>
          <w:left w:w="108" w:type="dxa"/>
          <w:bottom w:w="0" w:type="dxa"/>
          <w:right w:w="108" w:type="dxa"/>
        </w:tblCellMar>
      </w:tblPr>
      <w:tblGrid>
        <w:gridCol w:w="1908"/>
        <w:gridCol w:w="6961"/>
      </w:tblGrid>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sz w:val="28"/>
                <w:szCs w:val="28"/>
              </w:rPr>
            </w:pPr>
            <w:r>
              <w:rPr>
                <w:rFonts w:hint="eastAsia" w:ascii="黑体" w:hAnsi="黑体" w:eastAsia="黑体"/>
                <w:sz w:val="28"/>
                <w:szCs w:val="28"/>
              </w:rPr>
              <w:t>被评查单位</w:t>
            </w:r>
          </w:p>
        </w:tc>
        <w:tc>
          <w:tcPr>
            <w:tcW w:w="6961" w:type="dxa"/>
            <w:tcBorders>
              <w:top w:val="single" w:color="auto" w:sz="4" w:space="0"/>
              <w:left w:val="nil"/>
              <w:bottom w:val="single" w:color="auto" w:sz="4" w:space="0"/>
              <w:right w:val="single" w:color="auto" w:sz="4" w:space="0"/>
            </w:tcBorders>
          </w:tcPr>
          <w:p>
            <w:pPr>
              <w:widowControl/>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sz w:val="28"/>
                <w:szCs w:val="28"/>
              </w:rPr>
            </w:pPr>
            <w:r>
              <w:rPr>
                <w:rFonts w:hint="eastAsia" w:ascii="黑体" w:hAnsi="黑体" w:eastAsia="黑体"/>
                <w:sz w:val="28"/>
                <w:szCs w:val="28"/>
              </w:rPr>
              <w:t>案卷名称</w:t>
            </w:r>
          </w:p>
        </w:tc>
        <w:tc>
          <w:tcPr>
            <w:tcW w:w="6961" w:type="dxa"/>
            <w:tcBorders>
              <w:top w:val="single" w:color="auto" w:sz="4" w:space="0"/>
              <w:left w:val="nil"/>
              <w:bottom w:val="single" w:color="auto" w:sz="4" w:space="0"/>
              <w:right w:val="single" w:color="auto" w:sz="4" w:space="0"/>
            </w:tcBorders>
          </w:tcPr>
          <w:p>
            <w:pPr>
              <w:widowControl/>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sz w:val="28"/>
                <w:szCs w:val="28"/>
              </w:rPr>
            </w:pPr>
            <w:r>
              <w:rPr>
                <w:rFonts w:hint="eastAsia" w:ascii="黑体" w:hAnsi="黑体" w:eastAsia="黑体"/>
                <w:sz w:val="28"/>
                <w:szCs w:val="28"/>
              </w:rPr>
              <w:t>评查时间</w:t>
            </w:r>
          </w:p>
        </w:tc>
        <w:tc>
          <w:tcPr>
            <w:tcW w:w="6961" w:type="dxa"/>
            <w:tcBorders>
              <w:top w:val="single" w:color="auto" w:sz="4" w:space="0"/>
              <w:left w:val="nil"/>
              <w:bottom w:val="single" w:color="auto" w:sz="4" w:space="0"/>
              <w:right w:val="single" w:color="auto" w:sz="4" w:space="0"/>
            </w:tcBorders>
          </w:tcPr>
          <w:p>
            <w:pPr>
              <w:widowControl/>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sz w:val="28"/>
                <w:szCs w:val="28"/>
              </w:rPr>
            </w:pPr>
            <w:r>
              <w:rPr>
                <w:rFonts w:hint="eastAsia" w:ascii="黑体" w:hAnsi="黑体" w:eastAsia="黑体"/>
                <w:sz w:val="28"/>
                <w:szCs w:val="28"/>
              </w:rPr>
              <w:t>评查人</w:t>
            </w:r>
          </w:p>
        </w:tc>
        <w:tc>
          <w:tcPr>
            <w:tcW w:w="6961" w:type="dxa"/>
            <w:tcBorders>
              <w:top w:val="single" w:color="auto" w:sz="4" w:space="0"/>
              <w:left w:val="nil"/>
              <w:bottom w:val="single" w:color="auto" w:sz="4" w:space="0"/>
              <w:right w:val="single" w:color="auto" w:sz="4" w:space="0"/>
            </w:tcBorders>
          </w:tcPr>
          <w:p>
            <w:pPr>
              <w:widowControl/>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sz w:val="28"/>
                <w:szCs w:val="28"/>
              </w:rPr>
            </w:pPr>
            <w:r>
              <w:rPr>
                <w:rFonts w:hint="eastAsia" w:ascii="黑体" w:hAnsi="黑体" w:eastAsia="黑体"/>
                <w:sz w:val="28"/>
                <w:szCs w:val="28"/>
              </w:rPr>
              <w:t>得  分</w:t>
            </w:r>
          </w:p>
        </w:tc>
        <w:tc>
          <w:tcPr>
            <w:tcW w:w="6961" w:type="dxa"/>
            <w:tcBorders>
              <w:top w:val="single" w:color="auto" w:sz="4" w:space="0"/>
              <w:left w:val="nil"/>
              <w:bottom w:val="single" w:color="auto" w:sz="4" w:space="0"/>
              <w:right w:val="single" w:color="auto" w:sz="4" w:space="0"/>
            </w:tcBorders>
          </w:tcPr>
          <w:p>
            <w:pPr>
              <w:widowControl/>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2525" w:hRule="atLeast"/>
          <w:jc w:val="center"/>
        </w:trPr>
        <w:tc>
          <w:tcPr>
            <w:tcW w:w="8869" w:type="dxa"/>
            <w:gridSpan w:val="2"/>
            <w:tcBorders>
              <w:top w:val="single" w:color="auto" w:sz="4" w:space="0"/>
              <w:left w:val="single" w:color="auto" w:sz="4" w:space="0"/>
              <w:bottom w:val="single" w:color="auto" w:sz="4" w:space="0"/>
              <w:right w:val="single" w:color="auto" w:sz="4" w:space="0"/>
            </w:tcBorders>
          </w:tcPr>
          <w:p>
            <w:pPr>
              <w:widowControl/>
              <w:rPr>
                <w:rFonts w:ascii="黑体" w:hAnsi="黑体" w:eastAsia="黑体"/>
                <w:sz w:val="28"/>
                <w:szCs w:val="28"/>
              </w:rPr>
            </w:pPr>
            <w:r>
              <w:rPr>
                <w:rFonts w:hint="eastAsia" w:ascii="黑体" w:hAnsi="黑体" w:eastAsia="黑体"/>
                <w:sz w:val="28"/>
                <w:szCs w:val="28"/>
              </w:rPr>
              <w:t>案卷存在的主要问题：</w:t>
            </w:r>
          </w:p>
          <w:p>
            <w:pPr>
              <w:widowControl/>
              <w:rPr>
                <w:rFonts w:ascii="黑体" w:hAnsi="黑体" w:eastAsia="黑体"/>
                <w:sz w:val="28"/>
                <w:szCs w:val="28"/>
              </w:rPr>
            </w:pPr>
          </w:p>
          <w:p>
            <w:pPr>
              <w:widowControl/>
              <w:rPr>
                <w:rFonts w:ascii="黑体" w:hAnsi="黑体" w:eastAsia="黑体"/>
                <w:sz w:val="28"/>
                <w:szCs w:val="28"/>
              </w:rPr>
            </w:pPr>
          </w:p>
          <w:p>
            <w:pPr>
              <w:widowControl/>
              <w:rPr>
                <w:rFonts w:ascii="黑体" w:hAnsi="黑体" w:eastAsia="黑体"/>
                <w:sz w:val="28"/>
                <w:szCs w:val="28"/>
              </w:rPr>
            </w:pPr>
          </w:p>
          <w:p>
            <w:pPr>
              <w:widowControl/>
              <w:rPr>
                <w:rFonts w:ascii="黑体" w:hAnsi="黑体" w:eastAsia="黑体"/>
                <w:sz w:val="28"/>
                <w:szCs w:val="28"/>
              </w:rPr>
            </w:pPr>
          </w:p>
          <w:p>
            <w:pPr>
              <w:widowControl/>
              <w:rPr>
                <w:rFonts w:ascii="黑体" w:hAnsi="黑体" w:eastAsia="黑体"/>
                <w:sz w:val="28"/>
                <w:szCs w:val="28"/>
              </w:rPr>
            </w:pPr>
          </w:p>
          <w:p>
            <w:pPr>
              <w:widowControl/>
              <w:rPr>
                <w:rFonts w:ascii="黑体" w:hAnsi="黑体" w:eastAsia="黑体"/>
                <w:sz w:val="28"/>
                <w:szCs w:val="28"/>
              </w:rPr>
            </w:pPr>
          </w:p>
          <w:p>
            <w:pPr>
              <w:widowControl/>
              <w:rPr>
                <w:rFonts w:ascii="黑体" w:hAnsi="黑体" w:eastAsia="黑体"/>
                <w:sz w:val="28"/>
                <w:szCs w:val="28"/>
              </w:rPr>
            </w:pPr>
          </w:p>
          <w:p>
            <w:pPr>
              <w:widowControl/>
              <w:rPr>
                <w:rFonts w:ascii="黑体" w:hAnsi="黑体" w:eastAsia="黑体"/>
                <w:sz w:val="28"/>
                <w:szCs w:val="28"/>
              </w:rPr>
            </w:pPr>
          </w:p>
          <w:p>
            <w:pPr>
              <w:widowControl/>
              <w:rPr>
                <w:rFonts w:ascii="黑体" w:hAnsi="黑体" w:eastAsia="黑体"/>
                <w:sz w:val="28"/>
                <w:szCs w:val="28"/>
              </w:rPr>
            </w:pPr>
          </w:p>
          <w:p>
            <w:pPr>
              <w:widowControl/>
              <w:rPr>
                <w:rFonts w:ascii="黑体" w:hAnsi="黑体" w:eastAsia="黑体"/>
                <w:sz w:val="28"/>
                <w:szCs w:val="28"/>
              </w:rPr>
            </w:pPr>
          </w:p>
          <w:p>
            <w:pPr>
              <w:widowControl/>
              <w:rPr>
                <w:rFonts w:ascii="黑体" w:hAnsi="黑体" w:eastAsia="黑体"/>
                <w:sz w:val="28"/>
                <w:szCs w:val="28"/>
              </w:rPr>
            </w:pPr>
          </w:p>
        </w:tc>
      </w:tr>
    </w:tbl>
    <w:p>
      <w:pPr>
        <w:rPr>
          <w:rFonts w:ascii="仿宋" w:hAnsi="仿宋" w:eastAsia="仿宋" w:cs="Times New Roman"/>
          <w:sz w:val="28"/>
          <w:szCs w:val="28"/>
        </w:rPr>
      </w:pPr>
      <w:r>
        <w:rPr>
          <w:rFonts w:hint="eastAsia" w:ascii="仿宋" w:hAnsi="仿宋" w:eastAsia="仿宋"/>
          <w:sz w:val="28"/>
          <w:szCs w:val="28"/>
        </w:rPr>
        <w:t>评查单位（盖章）：</w:t>
      </w:r>
    </w:p>
    <w:p>
      <w:pPr>
        <w:widowControl/>
        <w:jc w:val="left"/>
        <w:rPr>
          <w:rFonts w:ascii="黑体" w:hAnsi="黑体" w:eastAsia="黑体" w:cs="宋体"/>
        </w:rPr>
        <w:sectPr>
          <w:footerReference r:id="rId3" w:type="default"/>
          <w:footerReference r:id="rId4" w:type="even"/>
          <w:pgSz w:w="11906" w:h="16838"/>
          <w:pgMar w:top="2098" w:right="1474" w:bottom="1985" w:left="1588" w:header="851" w:footer="1474" w:gutter="0"/>
          <w:cols w:space="720" w:num="1"/>
          <w:docGrid w:type="lines" w:linePitch="312" w:charSpace="0"/>
        </w:sectPr>
      </w:pPr>
    </w:p>
    <w:p>
      <w:pPr>
        <w:jc w:val="left"/>
        <w:rPr>
          <w:rFonts w:ascii="宋体" w:hAnsi="宋体"/>
          <w:b/>
          <w:sz w:val="44"/>
          <w:szCs w:val="44"/>
        </w:rPr>
      </w:pPr>
      <w:r>
        <w:rPr>
          <w:rFonts w:hint="eastAsia" w:ascii="黑体" w:hAnsi="黑体" w:eastAsia="黑体"/>
        </w:rPr>
        <w:t>附件6</w:t>
      </w:r>
    </w:p>
    <w:p>
      <w:pPr>
        <w:spacing w:line="560" w:lineRule="exact"/>
        <w:jc w:val="center"/>
        <w:rPr>
          <w:rFonts w:ascii="方正小标宋简体" w:hAnsi="Times New Roman" w:eastAsia="方正小标宋简体"/>
          <w:sz w:val="44"/>
          <w:szCs w:val="44"/>
        </w:rPr>
      </w:pPr>
      <w:r>
        <w:rPr>
          <w:rFonts w:hint="eastAsia" w:ascii="方正小标宋简体" w:eastAsia="方正小标宋简体"/>
          <w:sz w:val="44"/>
          <w:szCs w:val="44"/>
        </w:rPr>
        <w:t>“三项制度”执行情况督查表</w:t>
      </w:r>
    </w:p>
    <w:p>
      <w:pPr>
        <w:rPr>
          <w:rFonts w:ascii="仿宋" w:hAnsi="仿宋" w:eastAsia="仿宋"/>
          <w:sz w:val="21"/>
          <w:szCs w:val="21"/>
        </w:rPr>
      </w:pPr>
      <w:r>
        <w:rPr>
          <w:rFonts w:hint="eastAsia" w:ascii="仿宋" w:hAnsi="仿宋" w:eastAsia="仿宋"/>
        </w:rPr>
        <w:t>被督查单位：                                      填表时间：</w:t>
      </w:r>
    </w:p>
    <w:tbl>
      <w:tblPr>
        <w:tblStyle w:val="3"/>
        <w:tblW w:w="0" w:type="auto"/>
        <w:jc w:val="center"/>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Layout w:type="fixed"/>
        <w:tblCellMar>
          <w:top w:w="0" w:type="dxa"/>
          <w:left w:w="108" w:type="dxa"/>
          <w:bottom w:w="0" w:type="dxa"/>
          <w:right w:w="108" w:type="dxa"/>
        </w:tblCellMar>
      </w:tblPr>
      <w:tblGrid>
        <w:gridCol w:w="993"/>
        <w:gridCol w:w="992"/>
        <w:gridCol w:w="7370"/>
        <w:gridCol w:w="1134"/>
        <w:gridCol w:w="3490"/>
      </w:tblGrid>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trHeight w:val="588" w:hRule="atLeast"/>
          <w:tblHeader/>
          <w:jc w:val="center"/>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sz w:val="20"/>
                <w:szCs w:val="20"/>
              </w:rPr>
            </w:pPr>
            <w:r>
              <w:rPr>
                <w:rFonts w:hint="eastAsia" w:ascii="宋体" w:hAnsi="宋体"/>
                <w:b/>
                <w:sz w:val="20"/>
                <w:szCs w:val="20"/>
              </w:rPr>
              <w:t>事  项</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b/>
                <w:sz w:val="20"/>
                <w:szCs w:val="20"/>
              </w:rPr>
            </w:pPr>
            <w:r>
              <w:rPr>
                <w:rFonts w:hint="eastAsia" w:ascii="宋体" w:hAnsi="宋体"/>
                <w:b/>
                <w:sz w:val="20"/>
                <w:szCs w:val="20"/>
              </w:rPr>
              <w:t>要  求</w:t>
            </w:r>
          </w:p>
        </w:tc>
        <w:tc>
          <w:tcPr>
            <w:tcW w:w="7370" w:type="dxa"/>
            <w:tcBorders>
              <w:top w:val="single" w:color="auto" w:sz="4" w:space="0"/>
              <w:left w:val="nil"/>
              <w:bottom w:val="single" w:color="auto" w:sz="4" w:space="0"/>
              <w:right w:val="single" w:color="auto" w:sz="4" w:space="0"/>
            </w:tcBorders>
            <w:vAlign w:val="center"/>
          </w:tcPr>
          <w:p>
            <w:pPr>
              <w:widowControl/>
              <w:jc w:val="center"/>
              <w:rPr>
                <w:rFonts w:ascii="宋体" w:hAnsi="宋体"/>
                <w:b/>
                <w:sz w:val="20"/>
                <w:szCs w:val="20"/>
              </w:rPr>
            </w:pPr>
            <w:r>
              <w:rPr>
                <w:rFonts w:hint="eastAsia" w:ascii="宋体" w:hAnsi="宋体"/>
                <w:b/>
                <w:sz w:val="20"/>
                <w:szCs w:val="20"/>
              </w:rPr>
              <w:t>具体内容</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b/>
                <w:sz w:val="20"/>
                <w:szCs w:val="20"/>
              </w:rPr>
            </w:pPr>
            <w:r>
              <w:rPr>
                <w:rFonts w:hint="eastAsia" w:ascii="宋体" w:hAnsi="宋体"/>
                <w:b/>
                <w:sz w:val="20"/>
                <w:szCs w:val="20"/>
              </w:rPr>
              <w:t>总体情况</w:t>
            </w:r>
          </w:p>
        </w:tc>
        <w:tc>
          <w:tcPr>
            <w:tcW w:w="3490" w:type="dxa"/>
            <w:tcBorders>
              <w:top w:val="single" w:color="auto" w:sz="4" w:space="0"/>
              <w:left w:val="nil"/>
              <w:bottom w:val="single" w:color="auto" w:sz="4" w:space="0"/>
              <w:right w:val="single" w:color="auto" w:sz="4" w:space="0"/>
            </w:tcBorders>
            <w:vAlign w:val="center"/>
          </w:tcPr>
          <w:p>
            <w:pPr>
              <w:widowControl/>
              <w:jc w:val="center"/>
              <w:rPr>
                <w:rFonts w:ascii="宋体" w:hAnsi="宋体"/>
                <w:b/>
                <w:sz w:val="20"/>
                <w:szCs w:val="20"/>
              </w:rPr>
            </w:pPr>
            <w:r>
              <w:rPr>
                <w:rFonts w:hint="eastAsia" w:ascii="宋体" w:hAnsi="宋体"/>
                <w:b/>
                <w:sz w:val="20"/>
                <w:szCs w:val="20"/>
              </w:rPr>
              <w:t>情况说明</w:t>
            </w: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jc w:val="center"/>
        </w:trPr>
        <w:tc>
          <w:tcPr>
            <w:tcW w:w="99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行政执法公示制度</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强化事前公开</w:t>
            </w:r>
          </w:p>
        </w:tc>
        <w:tc>
          <w:tcPr>
            <w:tcW w:w="7370" w:type="dxa"/>
            <w:tcBorders>
              <w:top w:val="single" w:color="auto" w:sz="4" w:space="0"/>
              <w:left w:val="nil"/>
              <w:bottom w:val="single" w:color="auto" w:sz="4" w:space="0"/>
              <w:right w:val="single" w:color="auto" w:sz="4" w:space="0"/>
            </w:tcBorders>
          </w:tcPr>
          <w:p>
            <w:pPr>
              <w:widowControl/>
              <w:rPr>
                <w:rFonts w:ascii="宋体" w:hAnsi="宋体"/>
                <w:sz w:val="20"/>
                <w:szCs w:val="20"/>
              </w:rPr>
            </w:pPr>
            <w:r>
              <w:rPr>
                <w:rFonts w:hint="eastAsia" w:ascii="宋体" w:hAnsi="宋体"/>
                <w:sz w:val="20"/>
                <w:szCs w:val="20"/>
              </w:rPr>
              <w:t>编制《行政执法事项清单》，明确行政执法主体、人员、职责、权限、依据、程序、救济渠道等事前公开的内容，经本级司法行政机关审核后公示。根据“双随机、一公开”监管要求编制本部门《随机抽查事项清单》，经本级市场监管部门审核后予以公示。编制本机关各类行政执法流程图和行政执法服务指南，明确具体操作流程及行政执法事项名称、依据、受理机构、审批机构、受理条件、办理时限等内容。</w:t>
            </w:r>
          </w:p>
        </w:tc>
        <w:tc>
          <w:tcPr>
            <w:tcW w:w="1134" w:type="dxa"/>
            <w:tcBorders>
              <w:top w:val="single" w:color="auto" w:sz="4" w:space="0"/>
              <w:left w:val="nil"/>
              <w:bottom w:val="single" w:color="auto" w:sz="4" w:space="0"/>
              <w:right w:val="single" w:color="auto" w:sz="4" w:space="0"/>
            </w:tcBorders>
          </w:tcPr>
          <w:p>
            <w:pPr>
              <w:widowControl/>
              <w:rPr>
                <w:rFonts w:ascii="宋体" w:hAnsi="宋体"/>
                <w:sz w:val="20"/>
                <w:szCs w:val="20"/>
              </w:rPr>
            </w:pPr>
          </w:p>
        </w:tc>
        <w:tc>
          <w:tcPr>
            <w:tcW w:w="3490" w:type="dxa"/>
            <w:tcBorders>
              <w:top w:val="single" w:color="auto" w:sz="4" w:space="0"/>
              <w:left w:val="nil"/>
              <w:bottom w:val="single" w:color="auto" w:sz="4" w:space="0"/>
              <w:right w:val="single" w:color="auto" w:sz="4" w:space="0"/>
            </w:tcBorders>
          </w:tcPr>
          <w:p>
            <w:pPr>
              <w:widowControl/>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规范事中公开</w:t>
            </w:r>
          </w:p>
        </w:tc>
        <w:tc>
          <w:tcPr>
            <w:tcW w:w="7370" w:type="dxa"/>
            <w:tcBorders>
              <w:top w:val="single" w:color="auto" w:sz="4" w:space="0"/>
              <w:left w:val="nil"/>
              <w:bottom w:val="single" w:color="auto" w:sz="4" w:space="0"/>
              <w:right w:val="single" w:color="auto" w:sz="4" w:space="0"/>
            </w:tcBorders>
          </w:tcPr>
          <w:p>
            <w:pPr>
              <w:widowControl/>
              <w:rPr>
                <w:rFonts w:ascii="宋体" w:hAnsi="宋体"/>
                <w:sz w:val="20"/>
                <w:szCs w:val="20"/>
              </w:rPr>
            </w:pPr>
            <w:r>
              <w:rPr>
                <w:rFonts w:hint="eastAsia" w:ascii="宋体" w:hAnsi="宋体"/>
                <w:sz w:val="20"/>
                <w:szCs w:val="20"/>
              </w:rPr>
              <w:t>行政执法人员开展监督检查、调查取证、采取强制措施和强制执行、送达执法文书等执法活动时，主动出示证件表明身份。办事大厅、服务窗口等办事场所设置岗位信息公示牌，明示工作人员岗位职责、申请材料示范文本、办理进度查询、咨询服务、投诉举报等信息。</w:t>
            </w:r>
          </w:p>
        </w:tc>
        <w:tc>
          <w:tcPr>
            <w:tcW w:w="1134" w:type="dxa"/>
            <w:tcBorders>
              <w:top w:val="single" w:color="auto" w:sz="4" w:space="0"/>
              <w:left w:val="nil"/>
              <w:bottom w:val="single" w:color="auto" w:sz="4" w:space="0"/>
              <w:right w:val="single" w:color="auto" w:sz="4" w:space="0"/>
            </w:tcBorders>
          </w:tcPr>
          <w:p>
            <w:pPr>
              <w:widowControl/>
              <w:rPr>
                <w:rFonts w:ascii="宋体" w:hAnsi="宋体"/>
                <w:sz w:val="20"/>
                <w:szCs w:val="20"/>
              </w:rPr>
            </w:pPr>
          </w:p>
        </w:tc>
        <w:tc>
          <w:tcPr>
            <w:tcW w:w="3490" w:type="dxa"/>
            <w:tcBorders>
              <w:top w:val="single" w:color="auto" w:sz="4" w:space="0"/>
              <w:left w:val="nil"/>
              <w:bottom w:val="single" w:color="auto" w:sz="4" w:space="0"/>
              <w:right w:val="single" w:color="auto" w:sz="4" w:space="0"/>
            </w:tcBorders>
          </w:tcPr>
          <w:p>
            <w:pPr>
              <w:widowControl/>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加强事后公开</w:t>
            </w:r>
          </w:p>
        </w:tc>
        <w:tc>
          <w:tcPr>
            <w:tcW w:w="7370" w:type="dxa"/>
            <w:tcBorders>
              <w:top w:val="single" w:color="auto" w:sz="4" w:space="0"/>
              <w:left w:val="nil"/>
              <w:bottom w:val="single" w:color="auto" w:sz="4" w:space="0"/>
              <w:right w:val="single" w:color="auto" w:sz="4" w:space="0"/>
            </w:tcBorders>
          </w:tcPr>
          <w:p>
            <w:pPr>
              <w:widowControl/>
              <w:rPr>
                <w:rFonts w:ascii="宋体" w:hAnsi="宋体"/>
                <w:sz w:val="20"/>
                <w:szCs w:val="20"/>
              </w:rPr>
            </w:pPr>
            <w:r>
              <w:rPr>
                <w:rFonts w:hint="eastAsia" w:ascii="宋体" w:hAnsi="宋体"/>
                <w:sz w:val="20"/>
                <w:szCs w:val="20"/>
              </w:rPr>
              <w:t>在执法决定作出之日起20个工作日内，向社会公布执法机关、执法对象、执法类别、执法结论等信息。行政许可、行政处罚的执法决定信息在执法决定作出之日起7个工作日内公开，法律、行政法规另有规定的除外。建立健全执法决定信息公开发布撒销和更新机制。建立健全行政执法统计年报制度于每年1月31日前统计公开本机关上年度行政执法总体情况和有关数据。</w:t>
            </w:r>
          </w:p>
        </w:tc>
        <w:tc>
          <w:tcPr>
            <w:tcW w:w="1134" w:type="dxa"/>
            <w:tcBorders>
              <w:top w:val="single" w:color="auto" w:sz="4" w:space="0"/>
              <w:left w:val="nil"/>
              <w:bottom w:val="single" w:color="auto" w:sz="4" w:space="0"/>
              <w:right w:val="single" w:color="auto" w:sz="4" w:space="0"/>
            </w:tcBorders>
          </w:tcPr>
          <w:p>
            <w:pPr>
              <w:widowControl/>
              <w:rPr>
                <w:rFonts w:ascii="宋体" w:hAnsi="宋体"/>
                <w:sz w:val="20"/>
                <w:szCs w:val="20"/>
              </w:rPr>
            </w:pPr>
          </w:p>
        </w:tc>
        <w:tc>
          <w:tcPr>
            <w:tcW w:w="3490" w:type="dxa"/>
            <w:tcBorders>
              <w:top w:val="single" w:color="auto" w:sz="4" w:space="0"/>
              <w:left w:val="nil"/>
              <w:bottom w:val="single" w:color="auto" w:sz="4" w:space="0"/>
              <w:right w:val="single" w:color="auto" w:sz="4" w:space="0"/>
            </w:tcBorders>
          </w:tcPr>
          <w:p>
            <w:pPr>
              <w:widowControl/>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jc w:val="center"/>
        </w:trPr>
        <w:tc>
          <w:tcPr>
            <w:tcW w:w="99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执法全过程记录制度</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规范文字记录</w:t>
            </w:r>
          </w:p>
        </w:tc>
        <w:tc>
          <w:tcPr>
            <w:tcW w:w="7370" w:type="dxa"/>
            <w:tcBorders>
              <w:top w:val="single" w:color="auto" w:sz="4" w:space="0"/>
              <w:left w:val="nil"/>
              <w:bottom w:val="single" w:color="auto" w:sz="4" w:space="0"/>
              <w:right w:val="single" w:color="auto" w:sz="4" w:space="0"/>
            </w:tcBorders>
          </w:tcPr>
          <w:p>
            <w:pPr>
              <w:widowControl/>
              <w:rPr>
                <w:rFonts w:ascii="宋体" w:hAnsi="宋体"/>
                <w:sz w:val="20"/>
                <w:szCs w:val="20"/>
              </w:rPr>
            </w:pPr>
            <w:r>
              <w:rPr>
                <w:rFonts w:hint="eastAsia" w:ascii="宋体" w:hAnsi="宋体"/>
                <w:sz w:val="20"/>
                <w:szCs w:val="20"/>
              </w:rPr>
              <w:t>参照《内蒙古自治区行政执法案卷示范文本》和应急管理部统一适用的行政执法文书格式文本，规范执法文书制作。</w:t>
            </w:r>
          </w:p>
        </w:tc>
        <w:tc>
          <w:tcPr>
            <w:tcW w:w="1134" w:type="dxa"/>
            <w:tcBorders>
              <w:top w:val="single" w:color="auto" w:sz="4" w:space="0"/>
              <w:left w:val="nil"/>
              <w:bottom w:val="single" w:color="auto" w:sz="4" w:space="0"/>
              <w:right w:val="single" w:color="auto" w:sz="4" w:space="0"/>
            </w:tcBorders>
          </w:tcPr>
          <w:p>
            <w:pPr>
              <w:widowControl/>
              <w:rPr>
                <w:rFonts w:ascii="宋体" w:hAnsi="宋体"/>
                <w:sz w:val="20"/>
                <w:szCs w:val="20"/>
              </w:rPr>
            </w:pPr>
          </w:p>
        </w:tc>
        <w:tc>
          <w:tcPr>
            <w:tcW w:w="3490" w:type="dxa"/>
            <w:tcBorders>
              <w:top w:val="single" w:color="auto" w:sz="4" w:space="0"/>
              <w:left w:val="nil"/>
              <w:bottom w:val="single" w:color="auto" w:sz="4" w:space="0"/>
              <w:right w:val="single" w:color="auto" w:sz="4" w:space="0"/>
            </w:tcBorders>
          </w:tcPr>
          <w:p>
            <w:pPr>
              <w:widowControl/>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规范音像记录</w:t>
            </w:r>
          </w:p>
        </w:tc>
        <w:tc>
          <w:tcPr>
            <w:tcW w:w="7370" w:type="dxa"/>
            <w:tcBorders>
              <w:top w:val="single" w:color="auto" w:sz="4" w:space="0"/>
              <w:left w:val="nil"/>
              <w:bottom w:val="single" w:color="auto" w:sz="4" w:space="0"/>
              <w:right w:val="single" w:color="auto" w:sz="4" w:space="0"/>
            </w:tcBorders>
          </w:tcPr>
          <w:p>
            <w:pPr>
              <w:widowControl/>
              <w:rPr>
                <w:rFonts w:ascii="宋体" w:hAnsi="宋体"/>
                <w:sz w:val="20"/>
                <w:szCs w:val="20"/>
              </w:rPr>
            </w:pPr>
            <w:r>
              <w:rPr>
                <w:rFonts w:hint="eastAsia" w:ascii="宋体" w:hAnsi="宋体"/>
                <w:sz w:val="20"/>
                <w:szCs w:val="20"/>
              </w:rPr>
              <w:t>做好与自治区行政执法监督平台的衔接工作，充分利用音像记录设备，对现场执法活动和办案场所全程记录，全面推行全程音像记录。要按照工作必需、适量够用的原则配备音像记录设备，已有的音像记录设备要与自治区行政执法监督平台相衔接。</w:t>
            </w:r>
          </w:p>
        </w:tc>
        <w:tc>
          <w:tcPr>
            <w:tcW w:w="1134" w:type="dxa"/>
            <w:tcBorders>
              <w:top w:val="single" w:color="auto" w:sz="4" w:space="0"/>
              <w:left w:val="nil"/>
              <w:bottom w:val="single" w:color="auto" w:sz="4" w:space="0"/>
              <w:right w:val="single" w:color="auto" w:sz="4" w:space="0"/>
            </w:tcBorders>
          </w:tcPr>
          <w:p>
            <w:pPr>
              <w:widowControl/>
              <w:rPr>
                <w:rFonts w:ascii="宋体" w:hAnsi="宋体"/>
                <w:sz w:val="20"/>
                <w:szCs w:val="20"/>
              </w:rPr>
            </w:pPr>
          </w:p>
        </w:tc>
        <w:tc>
          <w:tcPr>
            <w:tcW w:w="3490" w:type="dxa"/>
            <w:tcBorders>
              <w:top w:val="single" w:color="auto" w:sz="4" w:space="0"/>
              <w:left w:val="nil"/>
              <w:bottom w:val="single" w:color="auto" w:sz="4" w:space="0"/>
              <w:right w:val="single" w:color="auto" w:sz="4" w:space="0"/>
            </w:tcBorders>
          </w:tcPr>
          <w:p>
            <w:pPr>
              <w:widowControl/>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jc w:val="center"/>
        </w:trPr>
        <w:tc>
          <w:tcPr>
            <w:tcW w:w="99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重大执法决定法制审核制度</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明确审核机构</w:t>
            </w:r>
          </w:p>
        </w:tc>
        <w:tc>
          <w:tcPr>
            <w:tcW w:w="7370" w:type="dxa"/>
            <w:tcBorders>
              <w:top w:val="single" w:color="auto" w:sz="4" w:space="0"/>
              <w:left w:val="nil"/>
              <w:bottom w:val="single" w:color="auto" w:sz="4" w:space="0"/>
              <w:right w:val="single" w:color="auto" w:sz="4" w:space="0"/>
            </w:tcBorders>
          </w:tcPr>
          <w:p>
            <w:pPr>
              <w:widowControl/>
              <w:rPr>
                <w:rFonts w:ascii="宋体" w:hAnsi="宋体"/>
                <w:sz w:val="20"/>
                <w:szCs w:val="20"/>
              </w:rPr>
            </w:pPr>
            <w:r>
              <w:rPr>
                <w:rFonts w:hint="eastAsia" w:ascii="宋体" w:hAnsi="宋体"/>
                <w:sz w:val="20"/>
                <w:szCs w:val="20"/>
              </w:rPr>
              <w:t>明确具体负责本单位重大执法决定法制审核的工作机构，确保法制审核工作有机构承担、有专人负责。要建立健全政府法律顾问和公职律师制度，对重大复杂疑难法律事务组织法律顾问和公职律师协助进行研究提出意见建议。</w:t>
            </w:r>
          </w:p>
        </w:tc>
        <w:tc>
          <w:tcPr>
            <w:tcW w:w="1134" w:type="dxa"/>
            <w:tcBorders>
              <w:top w:val="single" w:color="auto" w:sz="4" w:space="0"/>
              <w:left w:val="nil"/>
              <w:bottom w:val="single" w:color="auto" w:sz="4" w:space="0"/>
              <w:right w:val="single" w:color="auto" w:sz="4" w:space="0"/>
            </w:tcBorders>
          </w:tcPr>
          <w:p>
            <w:pPr>
              <w:widowControl/>
              <w:rPr>
                <w:rFonts w:ascii="宋体" w:hAnsi="宋体"/>
                <w:sz w:val="20"/>
                <w:szCs w:val="20"/>
              </w:rPr>
            </w:pPr>
          </w:p>
        </w:tc>
        <w:tc>
          <w:tcPr>
            <w:tcW w:w="3490" w:type="dxa"/>
            <w:tcBorders>
              <w:top w:val="single" w:color="auto" w:sz="4" w:space="0"/>
              <w:left w:val="nil"/>
              <w:bottom w:val="single" w:color="auto" w:sz="4" w:space="0"/>
              <w:right w:val="single" w:color="auto" w:sz="4" w:space="0"/>
            </w:tcBorders>
          </w:tcPr>
          <w:p>
            <w:pPr>
              <w:widowControl/>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确定审核范围</w:t>
            </w:r>
          </w:p>
        </w:tc>
        <w:tc>
          <w:tcPr>
            <w:tcW w:w="7370" w:type="dxa"/>
            <w:tcBorders>
              <w:top w:val="single" w:color="auto" w:sz="4" w:space="0"/>
              <w:left w:val="nil"/>
              <w:bottom w:val="single" w:color="auto" w:sz="4" w:space="0"/>
              <w:right w:val="single" w:color="auto" w:sz="4" w:space="0"/>
            </w:tcBorders>
          </w:tcPr>
          <w:p>
            <w:pPr>
              <w:widowControl/>
              <w:rPr>
                <w:rFonts w:ascii="宋体" w:hAnsi="宋体"/>
                <w:sz w:val="20"/>
                <w:szCs w:val="20"/>
              </w:rPr>
            </w:pPr>
            <w:r>
              <w:rPr>
                <w:rFonts w:hint="eastAsia" w:ascii="宋体" w:hAnsi="宋体"/>
                <w:sz w:val="20"/>
                <w:szCs w:val="20"/>
              </w:rPr>
              <w:t>凡涉及重大公共利益，可能造成重大社会影响或引发社会风险，直接关系行政相对人或第三人重大权益，经过听证程序作出行政执法决定，以及案件情况疑难复杂、涉及多个法律关系的，都要进行法制审核。明确界定重大行政执法决定的审核范围，编制行政许可、行政处罚、行政强制执法行为的《重大执法决定法制审核目录清单》。</w:t>
            </w:r>
          </w:p>
        </w:tc>
        <w:tc>
          <w:tcPr>
            <w:tcW w:w="1134" w:type="dxa"/>
            <w:tcBorders>
              <w:top w:val="single" w:color="auto" w:sz="4" w:space="0"/>
              <w:left w:val="nil"/>
              <w:bottom w:val="single" w:color="auto" w:sz="4" w:space="0"/>
              <w:right w:val="single" w:color="auto" w:sz="4" w:space="0"/>
            </w:tcBorders>
          </w:tcPr>
          <w:p>
            <w:pPr>
              <w:widowControl/>
              <w:rPr>
                <w:rFonts w:ascii="宋体" w:hAnsi="宋体"/>
                <w:sz w:val="20"/>
                <w:szCs w:val="20"/>
              </w:rPr>
            </w:pPr>
          </w:p>
        </w:tc>
        <w:tc>
          <w:tcPr>
            <w:tcW w:w="3490" w:type="dxa"/>
            <w:tcBorders>
              <w:top w:val="single" w:color="auto" w:sz="4" w:space="0"/>
              <w:left w:val="nil"/>
              <w:bottom w:val="single" w:color="auto" w:sz="4" w:space="0"/>
              <w:right w:val="single" w:color="auto" w:sz="4" w:space="0"/>
            </w:tcBorders>
          </w:tcPr>
          <w:p>
            <w:pPr>
              <w:widowControl/>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明确审核内容</w:t>
            </w:r>
          </w:p>
        </w:tc>
        <w:tc>
          <w:tcPr>
            <w:tcW w:w="7370" w:type="dxa"/>
            <w:tcBorders>
              <w:top w:val="single" w:color="auto" w:sz="4" w:space="0"/>
              <w:left w:val="nil"/>
              <w:bottom w:val="single" w:color="auto" w:sz="4" w:space="0"/>
              <w:right w:val="single" w:color="auto" w:sz="4" w:space="0"/>
            </w:tcBorders>
          </w:tcPr>
          <w:p>
            <w:pPr>
              <w:widowControl/>
              <w:rPr>
                <w:rFonts w:ascii="宋体" w:hAnsi="宋体"/>
                <w:sz w:val="20"/>
                <w:szCs w:val="20"/>
              </w:rPr>
            </w:pPr>
            <w:r>
              <w:rPr>
                <w:rFonts w:hint="eastAsia" w:ascii="宋体" w:hAnsi="宋体"/>
                <w:sz w:val="20"/>
                <w:szCs w:val="20"/>
              </w:rPr>
              <w:t>严格审核行政执法主体是否合法，行政执法人员是否具备执法资格；行政程序是否合法；案件事实是否清楚，证据是否合法充分；适用法律、法规、规章是否准确、执行裁量基准是否适当；执法是否有超越执法机关法定权限或滥用职权情形；行政执法文书是否完备、规范；违法行为是否涉嫌犯罪、需要移送司法机关等。</w:t>
            </w:r>
          </w:p>
        </w:tc>
        <w:tc>
          <w:tcPr>
            <w:tcW w:w="1134" w:type="dxa"/>
            <w:tcBorders>
              <w:top w:val="single" w:color="auto" w:sz="4" w:space="0"/>
              <w:left w:val="nil"/>
              <w:bottom w:val="single" w:color="auto" w:sz="4" w:space="0"/>
              <w:right w:val="single" w:color="auto" w:sz="4" w:space="0"/>
            </w:tcBorders>
          </w:tcPr>
          <w:p>
            <w:pPr>
              <w:widowControl/>
              <w:rPr>
                <w:rFonts w:ascii="宋体" w:hAnsi="宋体"/>
                <w:sz w:val="20"/>
                <w:szCs w:val="20"/>
              </w:rPr>
            </w:pPr>
          </w:p>
        </w:tc>
        <w:tc>
          <w:tcPr>
            <w:tcW w:w="3490" w:type="dxa"/>
            <w:tcBorders>
              <w:top w:val="single" w:color="auto" w:sz="4" w:space="0"/>
              <w:left w:val="nil"/>
              <w:bottom w:val="single" w:color="auto" w:sz="4" w:space="0"/>
              <w:right w:val="single" w:color="auto" w:sz="4" w:space="0"/>
            </w:tcBorders>
          </w:tcPr>
          <w:p>
            <w:pPr>
              <w:widowControl/>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jc w:val="center"/>
        </w:trPr>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明确审核责任</w:t>
            </w:r>
          </w:p>
        </w:tc>
        <w:tc>
          <w:tcPr>
            <w:tcW w:w="7370" w:type="dxa"/>
            <w:tcBorders>
              <w:top w:val="single" w:color="auto" w:sz="4" w:space="0"/>
              <w:left w:val="nil"/>
              <w:bottom w:val="single" w:color="auto" w:sz="4" w:space="0"/>
              <w:right w:val="single" w:color="auto" w:sz="4" w:space="0"/>
            </w:tcBorders>
          </w:tcPr>
          <w:p>
            <w:pPr>
              <w:widowControl/>
              <w:rPr>
                <w:rFonts w:ascii="宋体" w:hAnsi="宋体"/>
                <w:sz w:val="20"/>
                <w:szCs w:val="20"/>
              </w:rPr>
            </w:pPr>
            <w:r>
              <w:rPr>
                <w:rFonts w:hint="eastAsia" w:ascii="宋体" w:hAnsi="宋体"/>
                <w:sz w:val="20"/>
                <w:szCs w:val="20"/>
              </w:rPr>
              <w:t>行政执法机关主要负责人是落实本机关重大执法决定法制审核制度的第一责任人，对本机关作出的行政执法决定负责。确定法制审核流程图，明确送审材料报送要求和审核的方式、时限、责任，建立健全法制审核机构与行政执法承办机构对审核意见不一致时的协调机制。行政执法承办机构对送审材料的真实性、准确性、完整性，及执法的事实、证据、法律适用、程序的合法性负责。法制审核机构对重大执法决定的法制审核意见负责。承办人员、法制审核人员和审批负责人滥用职权、玩忽职守、徇私枉法,导致行政执法决定错误的，要依纪依法追究相关人员责任。</w:t>
            </w:r>
          </w:p>
        </w:tc>
        <w:tc>
          <w:tcPr>
            <w:tcW w:w="1134" w:type="dxa"/>
            <w:tcBorders>
              <w:top w:val="single" w:color="auto" w:sz="4" w:space="0"/>
              <w:left w:val="nil"/>
              <w:bottom w:val="single" w:color="auto" w:sz="4" w:space="0"/>
              <w:right w:val="single" w:color="auto" w:sz="4" w:space="0"/>
            </w:tcBorders>
          </w:tcPr>
          <w:p>
            <w:pPr>
              <w:widowControl/>
              <w:rPr>
                <w:rFonts w:ascii="宋体" w:hAnsi="宋体"/>
                <w:sz w:val="20"/>
                <w:szCs w:val="20"/>
              </w:rPr>
            </w:pPr>
          </w:p>
        </w:tc>
        <w:tc>
          <w:tcPr>
            <w:tcW w:w="3490" w:type="dxa"/>
            <w:tcBorders>
              <w:top w:val="single" w:color="auto" w:sz="4" w:space="0"/>
              <w:left w:val="nil"/>
              <w:bottom w:val="single" w:color="auto" w:sz="4" w:space="0"/>
              <w:right w:val="single" w:color="auto" w:sz="4" w:space="0"/>
            </w:tcBorders>
          </w:tcPr>
          <w:p>
            <w:pPr>
              <w:widowControl/>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outset" w:color="auto" w:sz="4" w:space="0"/>
            <w:insideV w:val="outset" w:color="auto" w:sz="4" w:space="0"/>
          </w:tblBorders>
          <w:tblCellMar>
            <w:top w:w="0" w:type="dxa"/>
            <w:left w:w="108" w:type="dxa"/>
            <w:bottom w:w="0" w:type="dxa"/>
            <w:right w:w="108" w:type="dxa"/>
          </w:tblCellMar>
        </w:tblPrEx>
        <w:trPr>
          <w:jc w:val="center"/>
        </w:trPr>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填表说明</w:t>
            </w:r>
          </w:p>
        </w:tc>
        <w:tc>
          <w:tcPr>
            <w:tcW w:w="11994" w:type="dxa"/>
            <w:gridSpan w:val="3"/>
            <w:tcBorders>
              <w:top w:val="single" w:color="auto" w:sz="4" w:space="0"/>
              <w:left w:val="nil"/>
              <w:bottom w:val="single" w:color="auto" w:sz="4" w:space="0"/>
              <w:right w:val="single" w:color="auto" w:sz="4" w:space="0"/>
            </w:tcBorders>
          </w:tcPr>
          <w:p>
            <w:pPr>
              <w:widowControl/>
              <w:rPr>
                <w:rFonts w:ascii="宋体" w:hAnsi="宋体"/>
                <w:sz w:val="20"/>
                <w:szCs w:val="20"/>
              </w:rPr>
            </w:pPr>
            <w:r>
              <w:rPr>
                <w:rFonts w:hint="eastAsia" w:ascii="宋体" w:hAnsi="宋体"/>
                <w:sz w:val="20"/>
                <w:szCs w:val="20"/>
              </w:rPr>
              <w:t>“总体情况”一栏填写ABC，其中：A表示此项目所规定内容全部完成；B表示此项目所规定内容部分完成；C表示此项目所规定内容未完成。</w:t>
            </w:r>
          </w:p>
          <w:p>
            <w:pPr>
              <w:widowControl/>
              <w:rPr>
                <w:rFonts w:ascii="宋体" w:hAnsi="宋体"/>
                <w:sz w:val="20"/>
                <w:szCs w:val="20"/>
              </w:rPr>
            </w:pPr>
            <w:r>
              <w:rPr>
                <w:rFonts w:hint="eastAsia" w:ascii="宋体" w:hAnsi="宋体"/>
                <w:sz w:val="20"/>
                <w:szCs w:val="20"/>
              </w:rPr>
              <w:t>“情况说明”一栏应简要概括被督查单位此项目完成情况，其中：全部完成的，简要概括成果及目前情况；基本完成的，列出哪些完成，哪些未完成，下一步工作措施等；未完成的，填写目前进展情况等内容。</w:t>
            </w:r>
          </w:p>
        </w:tc>
      </w:tr>
    </w:tbl>
    <w:p>
      <w:pPr>
        <w:rPr>
          <w:rFonts w:ascii="Times New Roman" w:hAnsi="Times New Roman" w:cs="Times New Roman"/>
          <w:sz w:val="21"/>
          <w:szCs w:val="21"/>
        </w:rPr>
      </w:pPr>
      <w:r>
        <w:rPr>
          <w:rFonts w:hint="eastAsia" w:ascii="仿宋" w:hAnsi="仿宋" w:eastAsia="仿宋"/>
          <w:sz w:val="28"/>
          <w:szCs w:val="28"/>
        </w:rPr>
        <w:t xml:space="preserve">督查单位（盖章）：               督查组组长：                督查人员：                     </w:t>
      </w:r>
    </w:p>
    <w:p>
      <w:pPr>
        <w:widowControl/>
        <w:jc w:val="left"/>
        <w:rPr>
          <w:rFonts w:ascii="仿宋_GB2312" w:hAnsi="宋体" w:eastAsia="仿宋_GB2312" w:cs="宋体"/>
        </w:rPr>
        <w:sectPr>
          <w:pgSz w:w="16838" w:h="11906" w:orient="landscape"/>
          <w:pgMar w:top="1588" w:right="1418" w:bottom="1588" w:left="1418" w:header="851" w:footer="992" w:gutter="0"/>
          <w:cols w:space="720" w:num="1"/>
          <w:docGrid w:type="lines" w:linePitch="312" w:charSpace="0"/>
        </w:sectPr>
      </w:pPr>
    </w:p>
    <w:p>
      <w:pPr>
        <w:rPr>
          <w:rFonts w:ascii="仿宋_GB2312" w:eastAsia="仿宋_GB231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 PAGE </w:instrText>
    </w:r>
    <w:r>
      <w:rPr>
        <w:rStyle w:val="5"/>
        <w:rFonts w:ascii="宋体" w:hAnsi="宋体"/>
        <w:sz w:val="28"/>
        <w:szCs w:val="28"/>
      </w:rPr>
      <w:fldChar w:fldCharType="separate"/>
    </w:r>
    <w:r>
      <w:rPr>
        <w:rStyle w:val="5"/>
        <w:rFonts w:ascii="宋体" w:hAnsi="宋体"/>
        <w:sz w:val="28"/>
        <w:szCs w:val="28"/>
      </w:rPr>
      <w:t>1</w:t>
    </w:r>
    <w:r>
      <w:rPr>
        <w:rStyle w:val="5"/>
        <w:rFonts w:ascii="宋体" w:hAnsi="宋体"/>
        <w:sz w:val="28"/>
        <w:szCs w:val="28"/>
      </w:rPr>
      <w:fldChar w:fldCharType="end"/>
    </w:r>
    <w:r>
      <w:rPr>
        <w:rStyle w:val="5"/>
        <w:rFonts w:hint="eastAsia" w:ascii="宋体" w:hAnsi="宋体"/>
        <w:sz w:val="28"/>
        <w:szCs w:val="28"/>
      </w:rPr>
      <w:t xml:space="preserve"> </w:t>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firstLine="280" w:firstLineChars="100"/>
      <w:rPr>
        <w:rFonts w:ascii="宋体" w:hAnsi="宋体"/>
        <w:sz w:val="28"/>
        <w:szCs w:val="28"/>
      </w:rPr>
    </w:pPr>
    <w:r>
      <w:rPr>
        <w:rFonts w:ascii="宋体" w:hAnsi="宋体"/>
        <w:sz w:val="28"/>
        <w:szCs w:val="28"/>
      </w:rPr>
      <w:t>—</w:t>
    </w:r>
    <w:r>
      <w:rPr>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 PAGE </w:instrText>
    </w:r>
    <w:r>
      <w:rPr>
        <w:rStyle w:val="5"/>
        <w:rFonts w:ascii="宋体" w:hAnsi="宋体"/>
        <w:sz w:val="28"/>
        <w:szCs w:val="28"/>
      </w:rPr>
      <w:fldChar w:fldCharType="separate"/>
    </w:r>
    <w:r>
      <w:rPr>
        <w:rStyle w:val="5"/>
        <w:rFonts w:ascii="宋体" w:hAnsi="宋体"/>
        <w:sz w:val="28"/>
        <w:szCs w:val="28"/>
      </w:rPr>
      <w:t>2</w:t>
    </w:r>
    <w:r>
      <w:rPr>
        <w:rStyle w:val="5"/>
        <w:rFonts w:ascii="宋体" w:hAnsi="宋体"/>
        <w:sz w:val="28"/>
        <w:szCs w:val="28"/>
      </w:rPr>
      <w:fldChar w:fldCharType="end"/>
    </w:r>
    <w:r>
      <w:rPr>
        <w:rStyle w:val="5"/>
        <w:rFonts w:hint="eastAsia" w:ascii="宋体" w:hAnsi="宋体"/>
        <w:sz w:val="28"/>
        <w:szCs w:val="28"/>
      </w:rPr>
      <w:t xml:space="preserve"> </w:t>
    </w:r>
    <w:r>
      <w:rPr>
        <w:rFonts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DZiYjVkM2YzNTllYTA0NjE2ODllZmMzMTljNmMifQ=="/>
  </w:docVars>
  <w:rsids>
    <w:rsidRoot w:val="5A301E85"/>
    <w:rsid w:val="5A30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_GB2312"/>
      <w:snapToGrid w:val="0"/>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2023-08-28T03:06:00Z</dcterms:created>
  <dc:creator>a 趁年轻^ω^</dc:creator>
  <cp:lastModifiedBy>a 趁年轻^ω^</cp:lastModifiedBy>
  <dcterms:modified xsi:type="dcterms:W3CDTF">2023-08-28T03:06:21Z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0FFF44E06BCF45FF85CCA449BEC1468D_11</vt:lpwstr>
  </property>
</Properties>
</file>