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  <w:t>附件3：内蒙古鄂尔多斯鄂托克经济开</w:t>
      </w:r>
      <w:bookmarkStart w:id="0" w:name="_GoBack"/>
      <w:bookmarkEnd w:id="0"/>
      <w:r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  <w:t>发区（蒙西产业园）内不适用告知承诺制管理的涉河建设项目清单</w:t>
      </w:r>
    </w:p>
    <w:tbl>
      <w:tblPr>
        <w:tblStyle w:val="3"/>
        <w:tblW w:w="481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序号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不适用告知承诺制管理的涉水建设项目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1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平面布置、设防标准、梁底标高、桥梁桥跨及桥梁型式等设计参数不符合本报告提出的参数的桥梁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2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多孔拱桥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3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需破堤（岸）施工的穿堤（岸）建设项目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4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与相关综合规划、防洪规划的水系布局相冲突的建设项目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5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确需对水系规划确定的占补平衡布局进行调整的项目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6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不符合本报告提出的控制参数和条件的穿河管线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7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涉水码头工程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8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79" w:beforeLines="20" w:after="79" w:afterLines="2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2"/>
                <w:lang w:val="en-US" w:eastAsia="zh-CN" w:bidi="zh-CN"/>
              </w:rPr>
              <w:t>防洪影响评价行政许可权限属于水利部流域机构审批权限的项目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IzZGE5MmUwZTE0YzBlNDEwNWIzMTEzNTFlNmYifQ=="/>
  </w:docVars>
  <w:rsids>
    <w:rsidRoot w:val="648F7125"/>
    <w:rsid w:val="648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2022-05-12T08:51:00Z</dcterms:created>
  <dc:creator>道明     ོ     ོ</dc:creator>
  <cp:lastModifiedBy>道明     ོ     ོ</cp:lastModifiedBy>
  <dcterms:modified xsi:type="dcterms:W3CDTF">2022-05-12T08:52:37Z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DCDB875D9F9F43D49A7D446AC8364652</vt:lpwstr>
  </property>
</Properties>
</file>